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2FE42C19"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#9</w:t>
      </w:r>
      <w:r w:rsidR="00326A71">
        <w:rPr>
          <w:rFonts w:ascii="Arial" w:hAnsi="Arial" w:cs="Arial"/>
          <w:b/>
          <w:sz w:val="22"/>
          <w:szCs w:val="24"/>
        </w:rPr>
        <w:t>8</w:t>
      </w:r>
      <w:r w:rsidRPr="00B30F45">
        <w:rPr>
          <w:rFonts w:ascii="Arial" w:hAnsi="Arial" w:cs="Arial"/>
          <w:b/>
          <w:sz w:val="22"/>
          <w:szCs w:val="24"/>
        </w:rPr>
        <w:tab/>
      </w:r>
      <w:r w:rsidR="00AB7C54" w:rsidRPr="00AB7C54">
        <w:rPr>
          <w:rFonts w:ascii="Arial" w:hAnsi="Arial" w:cs="Arial"/>
          <w:b/>
          <w:sz w:val="22"/>
          <w:szCs w:val="24"/>
        </w:rPr>
        <w:t>R1-</w:t>
      </w:r>
      <w:r w:rsidR="000E5996" w:rsidRPr="000E5996">
        <w:rPr>
          <w:rFonts w:ascii="Arial" w:hAnsi="Arial" w:cs="Arial"/>
          <w:b/>
          <w:sz w:val="22"/>
          <w:szCs w:val="24"/>
        </w:rPr>
        <w:t>190</w:t>
      </w:r>
      <w:r w:rsidR="00ED5642">
        <w:rPr>
          <w:rFonts w:ascii="Arial" w:hAnsi="Arial" w:cs="Arial"/>
          <w:b/>
          <w:sz w:val="22"/>
          <w:szCs w:val="24"/>
        </w:rPr>
        <w:t>9287</w:t>
      </w:r>
    </w:p>
    <w:p w14:paraId="7A250CD0" w14:textId="4118CD29" w:rsidR="00471901" w:rsidRPr="00B30F45" w:rsidRDefault="00326A71" w:rsidP="00471901">
      <w:pPr>
        <w:pStyle w:val="Footer"/>
        <w:jc w:val="both"/>
        <w:rPr>
          <w:rFonts w:cs="Arial"/>
          <w:i w:val="0"/>
          <w:sz w:val="24"/>
          <w:szCs w:val="24"/>
        </w:rPr>
      </w:pPr>
      <w:r>
        <w:rPr>
          <w:rFonts w:cs="Arial"/>
          <w:i w:val="0"/>
          <w:sz w:val="22"/>
          <w:szCs w:val="24"/>
        </w:rPr>
        <w:t>Prague</w:t>
      </w:r>
      <w:r w:rsidR="00DB655C">
        <w:rPr>
          <w:rFonts w:cs="Arial"/>
          <w:i w:val="0"/>
          <w:sz w:val="22"/>
          <w:szCs w:val="24"/>
        </w:rPr>
        <w:t xml:space="preserve">, </w:t>
      </w:r>
      <w:r>
        <w:rPr>
          <w:rFonts w:cs="Arial"/>
          <w:i w:val="0"/>
          <w:sz w:val="22"/>
          <w:szCs w:val="24"/>
        </w:rPr>
        <w:t>C</w:t>
      </w:r>
      <w:r w:rsidR="00772215">
        <w:rPr>
          <w:rFonts w:cs="Arial"/>
          <w:i w:val="0"/>
          <w:sz w:val="22"/>
          <w:szCs w:val="24"/>
        </w:rPr>
        <w:t>zech</w:t>
      </w:r>
      <w:r w:rsidR="001B55A9">
        <w:rPr>
          <w:rFonts w:cs="Arial"/>
          <w:i w:val="0"/>
          <w:sz w:val="22"/>
          <w:szCs w:val="24"/>
        </w:rPr>
        <w:t xml:space="preserve"> Republic</w:t>
      </w:r>
      <w:r w:rsidR="00DB655C" w:rsidRPr="00243B51">
        <w:rPr>
          <w:rFonts w:cs="Arial"/>
          <w:i w:val="0"/>
          <w:sz w:val="22"/>
          <w:szCs w:val="24"/>
        </w:rPr>
        <w:t xml:space="preserve">, </w:t>
      </w:r>
      <w:r w:rsidR="00FA7779">
        <w:rPr>
          <w:rFonts w:cs="Arial"/>
          <w:i w:val="0"/>
          <w:sz w:val="22"/>
          <w:szCs w:val="24"/>
        </w:rPr>
        <w:t>26</w:t>
      </w:r>
      <w:r w:rsidR="00DB655C" w:rsidRPr="00243B51">
        <w:rPr>
          <w:rFonts w:cs="Arial"/>
          <w:i w:val="0"/>
          <w:sz w:val="22"/>
          <w:szCs w:val="24"/>
          <w:vertAlign w:val="superscript"/>
        </w:rPr>
        <w:t>th</w:t>
      </w:r>
      <w:r w:rsidR="00DB655C" w:rsidRPr="00243B51">
        <w:rPr>
          <w:rFonts w:cs="Arial"/>
          <w:i w:val="0"/>
          <w:sz w:val="22"/>
          <w:szCs w:val="24"/>
        </w:rPr>
        <w:t xml:space="preserve"> – </w:t>
      </w:r>
      <w:r w:rsidR="00FA7779">
        <w:rPr>
          <w:rFonts w:cs="Arial"/>
          <w:i w:val="0"/>
          <w:sz w:val="22"/>
          <w:szCs w:val="24"/>
        </w:rPr>
        <w:t>30</w:t>
      </w:r>
      <w:r w:rsidR="00DB655C" w:rsidRPr="00243B51">
        <w:rPr>
          <w:rFonts w:cs="Arial"/>
          <w:i w:val="0"/>
          <w:sz w:val="22"/>
          <w:szCs w:val="24"/>
          <w:vertAlign w:val="superscript"/>
        </w:rPr>
        <w:t>th</w:t>
      </w:r>
      <w:r w:rsidR="00DB655C" w:rsidRPr="00243B51">
        <w:rPr>
          <w:rFonts w:cs="Arial"/>
          <w:i w:val="0"/>
          <w:sz w:val="22"/>
          <w:szCs w:val="24"/>
        </w:rPr>
        <w:t xml:space="preserve"> </w:t>
      </w:r>
      <w:r w:rsidR="00872692">
        <w:rPr>
          <w:rFonts w:cs="Arial"/>
          <w:i w:val="0"/>
          <w:sz w:val="22"/>
          <w:szCs w:val="24"/>
        </w:rPr>
        <w:t>Augus</w:t>
      </w:r>
      <w:r w:rsidR="00BC160C">
        <w:rPr>
          <w:rFonts w:cs="Arial"/>
          <w:i w:val="0"/>
          <w:sz w:val="22"/>
          <w:szCs w:val="24"/>
        </w:rPr>
        <w:t>t</w:t>
      </w:r>
      <w:r w:rsidR="00DB655C"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1AB9030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00471901">
        <w:rPr>
          <w:rFonts w:ascii="Arial" w:hAnsi="Arial"/>
          <w:sz w:val="24"/>
        </w:rPr>
        <w:t>2.13.</w:t>
      </w:r>
      <w:r w:rsidR="00DC6CA8">
        <w:rPr>
          <w:rFonts w:ascii="Arial" w:hAnsi="Arial"/>
          <w:sz w:val="24"/>
        </w:rPr>
        <w:t>3</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7147A0C1"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68CE">
        <w:rPr>
          <w:rFonts w:ascii="Arial" w:hAnsi="Arial"/>
          <w:sz w:val="24"/>
        </w:rPr>
        <w:t xml:space="preserve">Fast </w:t>
      </w:r>
      <w:r w:rsidR="00B3148D">
        <w:rPr>
          <w:rFonts w:ascii="Arial" w:hAnsi="Arial"/>
          <w:sz w:val="24"/>
        </w:rPr>
        <w:t xml:space="preserve">SCG and </w:t>
      </w:r>
      <w:proofErr w:type="spellStart"/>
      <w:r w:rsidR="002368CE">
        <w:rPr>
          <w:rFonts w:ascii="Arial" w:hAnsi="Arial"/>
          <w:sz w:val="24"/>
        </w:rPr>
        <w:t>SCell</w:t>
      </w:r>
      <w:proofErr w:type="spellEnd"/>
      <w:r w:rsidR="002368CE">
        <w:rPr>
          <w:rFonts w:ascii="Arial" w:hAnsi="Arial"/>
          <w:sz w:val="24"/>
        </w:rPr>
        <w:t xml:space="preserve"> Activation</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64F6B91A" w:rsidR="002F74E8" w:rsidRDefault="001B661F" w:rsidP="006A4AB6">
      <w:pPr>
        <w:overflowPunct/>
        <w:autoSpaceDE/>
        <w:autoSpaceDN/>
        <w:adjustRightInd/>
        <w:spacing w:after="0"/>
        <w:textAlignment w:val="auto"/>
      </w:pPr>
      <w:r>
        <w:t xml:space="preserve">Fast </w:t>
      </w:r>
      <w:proofErr w:type="spellStart"/>
      <w:r>
        <w:t>SCell</w:t>
      </w:r>
      <w:proofErr w:type="spellEnd"/>
      <w:r>
        <w:t xml:space="preserve"> activation </w:t>
      </w:r>
      <w:r w:rsidR="00316842">
        <w:t xml:space="preserve">for NR is being studied for UE power saving as well as latency reduction. </w:t>
      </w:r>
      <w:r w:rsidR="00544425">
        <w:t xml:space="preserve">It will be discussed under this sub-agenda in terms of the </w:t>
      </w:r>
      <w:r w:rsidRPr="001B661F">
        <w:t>RAN1 impact on support of efficient and low latency serving cell configuration/activation/setup</w:t>
      </w:r>
      <w:r w:rsidR="002F74E8">
        <w:t>.</w:t>
      </w:r>
    </w:p>
    <w:p w14:paraId="6827F987" w14:textId="609C9D23" w:rsidR="0033483E" w:rsidRDefault="0033483E" w:rsidP="006A4AB6">
      <w:pPr>
        <w:overflowPunct/>
        <w:autoSpaceDE/>
        <w:autoSpaceDN/>
        <w:adjustRightInd/>
        <w:spacing w:after="0"/>
        <w:textAlignment w:val="auto"/>
      </w:pPr>
    </w:p>
    <w:p w14:paraId="73453389" w14:textId="6BFDBBE6" w:rsidR="0033483E" w:rsidRDefault="0033483E" w:rsidP="006A4AB6">
      <w:pPr>
        <w:overflowPunct/>
        <w:autoSpaceDE/>
        <w:autoSpaceDN/>
        <w:adjustRightInd/>
        <w:spacing w:after="0"/>
        <w:textAlignment w:val="auto"/>
      </w:pPr>
      <w:r>
        <w:t>We also discuss this topic in the corresponding agenda item in RAN2. Please refer to our companion contributions</w:t>
      </w:r>
      <w:r w:rsidR="00A531EA">
        <w:t xml:space="preserve"> </w:t>
      </w:r>
      <w:r w:rsidR="00A531EA">
        <w:fldChar w:fldCharType="begin"/>
      </w:r>
      <w:r w:rsidR="00A531EA">
        <w:instrText xml:space="preserve"> REF _Ref4756395 \r \h </w:instrText>
      </w:r>
      <w:r w:rsidR="00A531EA">
        <w:fldChar w:fldCharType="separate"/>
      </w:r>
      <w:r w:rsidR="00FB0BB0">
        <w:t>[3]</w:t>
      </w:r>
      <w:r w:rsidR="00A531EA">
        <w:fldChar w:fldCharType="end"/>
      </w:r>
      <w:r w:rsidR="00A531EA">
        <w:fldChar w:fldCharType="begin"/>
      </w:r>
      <w:r w:rsidR="00A531EA">
        <w:instrText xml:space="preserve"> REF _Ref4756397 \r \h </w:instrText>
      </w:r>
      <w:r w:rsidR="00A531EA">
        <w:fldChar w:fldCharType="separate"/>
      </w:r>
      <w:r w:rsidR="00FB0BB0">
        <w:t>[4]</w:t>
      </w:r>
      <w:r w:rsidR="00A531EA">
        <w:fldChar w:fldCharType="end"/>
      </w:r>
      <w:r>
        <w:t xml:space="preserve">. </w:t>
      </w:r>
    </w:p>
    <w:p w14:paraId="51971AAB" w14:textId="09340CF8" w:rsidR="003D15D5" w:rsidRDefault="003D15D5" w:rsidP="006A4AB6">
      <w:pPr>
        <w:overflowPunct/>
        <w:autoSpaceDE/>
        <w:autoSpaceDN/>
        <w:adjustRightInd/>
        <w:spacing w:after="0"/>
        <w:textAlignment w:val="auto"/>
      </w:pPr>
    </w:p>
    <w:p w14:paraId="1B1899BB" w14:textId="05F3342B" w:rsidR="003720D1" w:rsidRPr="003720D1" w:rsidRDefault="000E5996" w:rsidP="006A4AB6">
      <w:pPr>
        <w:overflowPunct/>
        <w:autoSpaceDE/>
        <w:autoSpaceDN/>
        <w:adjustRightInd/>
        <w:spacing w:after="0"/>
        <w:textAlignment w:val="auto"/>
        <w:rPr>
          <w:i/>
          <w:lang w:eastAsia="zh-CN"/>
        </w:rPr>
      </w:pPr>
      <w:r w:rsidRPr="000E5996">
        <w:rPr>
          <w:b/>
        </w:rPr>
        <w:t xml:space="preserve">This is a resubmission of </w:t>
      </w:r>
      <w:r w:rsidR="0025621E" w:rsidRPr="000E5996">
        <w:rPr>
          <w:b/>
        </w:rPr>
        <w:t>R1-190</w:t>
      </w:r>
      <w:r w:rsidR="0025621E" w:rsidRPr="00A74B3C">
        <w:rPr>
          <w:b/>
        </w:rPr>
        <w:t>7306</w:t>
      </w:r>
      <w:r w:rsidR="0025621E" w:rsidRPr="000E5996">
        <w:rPr>
          <w:b/>
        </w:rPr>
        <w:t xml:space="preserve"> with update</w:t>
      </w:r>
      <w:r w:rsidR="0025621E">
        <w:rPr>
          <w:b/>
        </w:rPr>
        <w:t>s</w:t>
      </w:r>
      <w:r w:rsidR="0025621E" w:rsidRPr="000E5996">
        <w:rPr>
          <w:b/>
        </w:rPr>
        <w:t xml:space="preserve"> </w:t>
      </w:r>
      <w:r w:rsidR="0025621E">
        <w:rPr>
          <w:b/>
        </w:rPr>
        <w:t xml:space="preserve">that reflect RAN2 agreements </w:t>
      </w:r>
      <w:r w:rsidR="0025621E">
        <w:rPr>
          <w:b/>
        </w:rPr>
        <w:fldChar w:fldCharType="begin"/>
      </w:r>
      <w:r w:rsidR="0025621E">
        <w:rPr>
          <w:b/>
        </w:rPr>
        <w:instrText xml:space="preserve"> REF _Ref16778359 \r \h </w:instrText>
      </w:r>
      <w:r w:rsidR="0025621E">
        <w:rPr>
          <w:b/>
        </w:rPr>
      </w:r>
      <w:r w:rsidR="0025621E">
        <w:rPr>
          <w:b/>
        </w:rPr>
        <w:fldChar w:fldCharType="separate"/>
      </w:r>
      <w:r w:rsidR="00FB0BB0">
        <w:rPr>
          <w:b/>
        </w:rPr>
        <w:t>[5]</w:t>
      </w:r>
      <w:r w:rsidR="0025621E">
        <w:rPr>
          <w:b/>
        </w:rPr>
        <w:fldChar w:fldCharType="end"/>
      </w:r>
      <w:r w:rsidR="0025621E" w:rsidRPr="000E5996">
        <w:rPr>
          <w:b/>
        </w:rPr>
        <w:t>.</w:t>
      </w:r>
    </w:p>
    <w:p w14:paraId="0084B046" w14:textId="55227D07" w:rsidR="009B719B" w:rsidRDefault="00471901" w:rsidP="00242674">
      <w:pPr>
        <w:pStyle w:val="Heading1"/>
      </w:pPr>
      <w:r>
        <w:t>Discussion</w:t>
      </w:r>
    </w:p>
    <w:p w14:paraId="27236530" w14:textId="79BE4D3C" w:rsidR="0076790B" w:rsidRDefault="0076790B" w:rsidP="0076790B">
      <w:r>
        <w:t>(</w:t>
      </w:r>
      <w:r w:rsidRPr="00B869B1">
        <w:rPr>
          <w:i/>
        </w:rPr>
        <w:t>Note that in all discussion below, for simplicity, the terminology “</w:t>
      </w:r>
      <w:proofErr w:type="spellStart"/>
      <w:r w:rsidRPr="00B869B1">
        <w:rPr>
          <w:i/>
        </w:rPr>
        <w:t>PCell</w:t>
      </w:r>
      <w:proofErr w:type="spellEnd"/>
      <w:r w:rsidRPr="00B869B1">
        <w:rPr>
          <w:i/>
        </w:rPr>
        <w:t xml:space="preserve">” is used throughout, but it can also mean </w:t>
      </w:r>
      <w:proofErr w:type="spellStart"/>
      <w:r w:rsidRPr="00B869B1">
        <w:rPr>
          <w:i/>
        </w:rPr>
        <w:t>PSCell</w:t>
      </w:r>
      <w:proofErr w:type="spellEnd"/>
      <w:r w:rsidRPr="00B869B1">
        <w:rPr>
          <w:i/>
        </w:rPr>
        <w:t xml:space="preserve"> when the context is applied to the secondary cell group.</w:t>
      </w:r>
      <w:r>
        <w:t>)</w:t>
      </w:r>
    </w:p>
    <w:p w14:paraId="14A5DD87" w14:textId="77777777" w:rsidR="0076790B" w:rsidRPr="00AB7C54" w:rsidRDefault="0076790B" w:rsidP="00AB7C54"/>
    <w:p w14:paraId="1DCD9567" w14:textId="17FDE202" w:rsidR="00D916B3" w:rsidRPr="00D916B3" w:rsidRDefault="00D916B3" w:rsidP="00D916B3">
      <w:pPr>
        <w:pStyle w:val="Heading2"/>
      </w:pPr>
      <w:r>
        <w:t xml:space="preserve">Fast </w:t>
      </w:r>
      <w:proofErr w:type="spellStart"/>
      <w:r>
        <w:t>SCell</w:t>
      </w:r>
      <w:proofErr w:type="spellEnd"/>
      <w:r>
        <w:t xml:space="preserve"> Activation/Deactivation</w:t>
      </w:r>
    </w:p>
    <w:p w14:paraId="2785946C" w14:textId="1DCB2146" w:rsidR="009C3A3A" w:rsidRDefault="009C3A3A" w:rsidP="009C3A3A">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rsidR="00F041BF">
        <w:t>improving power efficiency</w:t>
      </w:r>
      <w:r w:rsidR="0051432B">
        <w:t xml:space="preserve"> and latency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4A9BC8E1" w14:textId="261653A6" w:rsidR="009C3A3A" w:rsidRDefault="009C3A3A" w:rsidP="009C3A3A">
      <w:r>
        <w:fldChar w:fldCharType="begin"/>
      </w:r>
      <w:r>
        <w:instrText xml:space="preserve"> REF _Ref525911908 \h </w:instrText>
      </w:r>
      <w:r>
        <w:fldChar w:fldCharType="separate"/>
      </w:r>
      <w:r w:rsidR="00FB0BB0">
        <w:t xml:space="preserve">Figure </w:t>
      </w:r>
      <w:r w:rsidR="00FB0BB0">
        <w:rPr>
          <w:noProof/>
        </w:rPr>
        <w:t>1</w:t>
      </w:r>
      <w:r>
        <w:fldChar w:fldCharType="end"/>
      </w:r>
      <w:r>
        <w:t xml:space="preserve"> introduces the NR</w:t>
      </w:r>
      <w:r w:rsidR="00F041BF">
        <w:t xml:space="preserve"> Rel-15</w:t>
      </w:r>
      <w:r>
        <w:t xml:space="preserve"> </w:t>
      </w:r>
      <w:proofErr w:type="spellStart"/>
      <w:r>
        <w:t>SCell</w:t>
      </w:r>
      <w:proofErr w:type="spellEnd"/>
      <w:r>
        <w:t xml:space="preserve"> activation/deactivation timeline analysis.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w:t>
      </w:r>
      <w:r w:rsidR="000E0A6C">
        <w:t xml:space="preserve"> </w:t>
      </w:r>
      <w:r w:rsidR="006D5F19">
        <w:t>TS 38.133</w:t>
      </w:r>
      <w:r>
        <w:t xml:space="preserve">) and additional latency, to finish synchronization in the target </w:t>
      </w:r>
      <w:proofErr w:type="spellStart"/>
      <w:r>
        <w:t>SCell</w:t>
      </w:r>
      <w:proofErr w:type="spellEnd"/>
      <w:r>
        <w:t xml:space="preserve">. The exact time for 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rsidR="006A21CE">
        <w:t xml:space="preserve">TS </w:t>
      </w:r>
      <w:r w:rsidRPr="004E15EE">
        <w:t>38.214</w:t>
      </w:r>
      <w:r>
        <w:t>.</w:t>
      </w:r>
      <w:r w:rsidR="0033483E">
        <w:t xml:space="preserve"> For details of the analysis, please refer to Appendix </w:t>
      </w:r>
      <w:r w:rsidR="0033483E">
        <w:fldChar w:fldCharType="begin"/>
      </w:r>
      <w:r w:rsidR="0033483E">
        <w:instrText xml:space="preserve"> REF _Ref4743812 \r \h </w:instrText>
      </w:r>
      <w:r w:rsidR="0033483E">
        <w:fldChar w:fldCharType="separate"/>
      </w:r>
      <w:r w:rsidR="00FB0BB0">
        <w:t>5.1</w:t>
      </w:r>
      <w:r w:rsidR="0033483E">
        <w:fldChar w:fldCharType="end"/>
      </w:r>
      <w:r w:rsidR="0033483E">
        <w:t>.</w:t>
      </w:r>
    </w:p>
    <w:p w14:paraId="6B35DE54" w14:textId="7C171E99" w:rsidR="00EA54B2" w:rsidRDefault="009C3A3A" w:rsidP="00EA54B2">
      <w:r>
        <w:fldChar w:fldCharType="begin"/>
      </w:r>
      <w:r>
        <w:instrText xml:space="preserve"> REF _Ref525911945 \h </w:instrText>
      </w:r>
      <w:r>
        <w:fldChar w:fldCharType="separate"/>
      </w:r>
      <w:r w:rsidR="00FB0BB0">
        <w:t xml:space="preserve">Figure </w:t>
      </w:r>
      <w:r w:rsidR="00FB0BB0">
        <w:rPr>
          <w:noProof/>
        </w:rPr>
        <w:t>2</w:t>
      </w:r>
      <w:r>
        <w:fldChar w:fldCharType="end"/>
      </w:r>
      <w:r>
        <w:t xml:space="preserve"> depicts a possible scheme of fast </w:t>
      </w:r>
      <w:proofErr w:type="spellStart"/>
      <w:r>
        <w:t>SCell</w:t>
      </w:r>
      <w:proofErr w:type="spellEnd"/>
      <w:r>
        <w:t xml:space="preserve"> activation/deactivation procedure timeline. </w:t>
      </w:r>
      <w:r w:rsidR="006A21CE">
        <w:t>I</w:t>
      </w:r>
      <w:r>
        <w:t xml:space="preserve">f aperiodic TRS can be triggered and transmitted, channel tracking can be done based on A-TRS and </w:t>
      </w:r>
      <w:r w:rsidR="006A21CE">
        <w:t xml:space="preserve">latency for acquiring </w:t>
      </w:r>
      <w:r>
        <w:t xml:space="preserve">SSB can be bypassed. </w:t>
      </w:r>
      <w:r w:rsidR="006A21CE">
        <w:t xml:space="preserve">A-CSI can be triggered for CQI measurement. </w:t>
      </w:r>
      <w:r>
        <w:t>The T</w:t>
      </w:r>
      <w:r w:rsidR="006A21CE">
        <w:rPr>
          <w:vertAlign w:val="subscript"/>
        </w:rPr>
        <w:t>TRS</w:t>
      </w:r>
      <w:r>
        <w:t xml:space="preserve"> covers the A-TRS duration and it can be assumed as </w:t>
      </w:r>
      <w:r w:rsidR="006A21CE">
        <w:t xml:space="preserve">1 to </w:t>
      </w:r>
      <w:r>
        <w:t xml:space="preserve">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w:t>
      </w:r>
      <w:r w:rsidR="00EA54B2">
        <w:t xml:space="preserve">The adoption of </w:t>
      </w:r>
      <w:r w:rsidR="00863837">
        <w:t xml:space="preserve">additional </w:t>
      </w:r>
      <w:r w:rsidR="00EA54B2">
        <w:t xml:space="preserve">RS </w:t>
      </w:r>
      <w:r w:rsidR="00863837">
        <w:t xml:space="preserve">for </w:t>
      </w:r>
      <w:r w:rsidR="00EA54B2">
        <w:t xml:space="preserve">fast </w:t>
      </w:r>
      <w:proofErr w:type="spellStart"/>
      <w:r w:rsidR="00EA54B2">
        <w:t>SCell</w:t>
      </w:r>
      <w:proofErr w:type="spellEnd"/>
      <w:r w:rsidR="00EA54B2">
        <w:t xml:space="preserve"> activation was also discussed in RAN2</w:t>
      </w:r>
      <w:r w:rsidR="00863837">
        <w:rPr>
          <w:rFonts w:hint="eastAsia"/>
          <w:lang w:eastAsia="zh-CN"/>
        </w:rPr>
        <w:t>.</w:t>
      </w:r>
      <w:r w:rsidR="00863837">
        <w:rPr>
          <w:lang w:eastAsia="zh-CN"/>
        </w:rPr>
        <w:t xml:space="preserve"> </w:t>
      </w:r>
      <w:r w:rsidR="00D52AD8">
        <w:t xml:space="preserve">RAN2 </w:t>
      </w:r>
      <w:r w:rsidR="00863837">
        <w:t xml:space="preserve">agreed that a </w:t>
      </w:r>
      <w:r w:rsidR="00107A65">
        <w:t>temporary</w:t>
      </w:r>
      <w:r w:rsidR="002F35C6">
        <w:t xml:space="preserve"> </w:t>
      </w:r>
      <w:r w:rsidR="00107A65">
        <w:t>RS should be studied</w:t>
      </w:r>
      <w:r w:rsidR="00EA54B2">
        <w:t>.</w:t>
      </w:r>
      <w:r w:rsidR="00A56C19" w:rsidRPr="00A56C19">
        <w:rPr>
          <w:lang w:eastAsia="zh-CN"/>
        </w:rPr>
        <w:t xml:space="preserve"> </w:t>
      </w:r>
      <w:r w:rsidR="00CF03CB">
        <w:rPr>
          <w:lang w:eastAsia="zh-CN"/>
        </w:rPr>
        <w:t xml:space="preserve">Options of the temporary RS include </w:t>
      </w:r>
      <w:r w:rsidR="00CF03CB" w:rsidRPr="00CF03CB">
        <w:rPr>
          <w:lang w:eastAsia="zh-CN"/>
        </w:rPr>
        <w:t>SSB, CSI-RS or TRS</w:t>
      </w:r>
      <w:r w:rsidR="006C41ED">
        <w:rPr>
          <w:lang w:eastAsia="zh-CN"/>
        </w:rPr>
        <w:t xml:space="preserve"> </w:t>
      </w:r>
      <w:r w:rsidR="006C41ED">
        <w:fldChar w:fldCharType="begin"/>
      </w:r>
      <w:r w:rsidR="006C41ED">
        <w:instrText xml:space="preserve"> REF _Ref16778359 \r \h </w:instrText>
      </w:r>
      <w:r w:rsidR="006C41ED">
        <w:fldChar w:fldCharType="separate"/>
      </w:r>
      <w:r w:rsidR="00FB0BB0">
        <w:t>[5]</w:t>
      </w:r>
      <w:r w:rsidR="006C41ED">
        <w:fldChar w:fldCharType="end"/>
      </w:r>
      <w:r w:rsidR="00CF03CB">
        <w:rPr>
          <w:lang w:eastAsia="zh-CN"/>
        </w:rPr>
        <w:t xml:space="preserve">. </w:t>
      </w:r>
      <w:r w:rsidR="00A56C19">
        <w:rPr>
          <w:lang w:eastAsia="zh-CN"/>
        </w:rPr>
        <w:t xml:space="preserve">RAN2 </w:t>
      </w:r>
      <w:r w:rsidR="00107A65">
        <w:rPr>
          <w:lang w:eastAsia="zh-CN"/>
        </w:rPr>
        <w:t xml:space="preserve">has </w:t>
      </w:r>
      <w:r w:rsidR="00A56C19">
        <w:rPr>
          <w:lang w:eastAsia="zh-CN"/>
        </w:rPr>
        <w:t>consider</w:t>
      </w:r>
      <w:r w:rsidR="00107A65">
        <w:rPr>
          <w:lang w:eastAsia="zh-CN"/>
        </w:rPr>
        <w:t>ed</w:t>
      </w:r>
      <w:r w:rsidR="00A56C19">
        <w:rPr>
          <w:lang w:eastAsia="zh-CN"/>
        </w:rPr>
        <w:t xml:space="preserve"> this RS a </w:t>
      </w:r>
      <w:r w:rsidR="00A56C19">
        <w:t xml:space="preserve">temporary one </w:t>
      </w:r>
      <w:r w:rsidR="00467C6E">
        <w:t>because it</w:t>
      </w:r>
      <w:r w:rsidR="00A56C19">
        <w:t xml:space="preserve"> is </w:t>
      </w:r>
      <w:r w:rsidR="00DF41B7">
        <w:t xml:space="preserve">only </w:t>
      </w:r>
      <w:r w:rsidR="00A56C19">
        <w:t xml:space="preserve">needed </w:t>
      </w:r>
      <w:r w:rsidR="00AB3182">
        <w:t>when</w:t>
      </w:r>
      <w:r w:rsidR="00A56C19">
        <w:t xml:space="preserve"> </w:t>
      </w:r>
      <w:proofErr w:type="spellStart"/>
      <w:r w:rsidR="00A56C19">
        <w:t>SCell</w:t>
      </w:r>
      <w:proofErr w:type="spellEnd"/>
      <w:r w:rsidR="00A56C19">
        <w:t xml:space="preserve"> activation</w:t>
      </w:r>
      <w:r w:rsidR="00AB3182">
        <w:t xml:space="preserve"> is triggered</w:t>
      </w:r>
      <w:r w:rsidR="00A56C19">
        <w:t>.</w:t>
      </w:r>
    </w:p>
    <w:tbl>
      <w:tblPr>
        <w:tblStyle w:val="TableGrid"/>
        <w:tblW w:w="0" w:type="auto"/>
        <w:tblLook w:val="04A0" w:firstRow="1" w:lastRow="0" w:firstColumn="1" w:lastColumn="0" w:noHBand="0" w:noVBand="1"/>
      </w:tblPr>
      <w:tblGrid>
        <w:gridCol w:w="9628"/>
      </w:tblGrid>
      <w:tr w:rsidR="00EA54B2" w14:paraId="50D2B414" w14:textId="77777777" w:rsidTr="00231D9B">
        <w:tc>
          <w:tcPr>
            <w:tcW w:w="9628" w:type="dxa"/>
          </w:tcPr>
          <w:p w14:paraId="0C9F281E" w14:textId="61C100B8" w:rsidR="00EA54B2" w:rsidRDefault="00EA54B2" w:rsidP="00231D9B">
            <w:r>
              <w:t xml:space="preserve">Temporary RS resources at </w:t>
            </w:r>
            <w:proofErr w:type="spellStart"/>
            <w:r>
              <w:t>SCell</w:t>
            </w:r>
            <w:proofErr w:type="spellEnd"/>
            <w:r>
              <w:t xml:space="preserve"> activation will be studied as a </w:t>
            </w:r>
            <w:r w:rsidR="008A01A0">
              <w:t>solution</w:t>
            </w:r>
            <w:r>
              <w:t xml:space="preserve"> for fast </w:t>
            </w:r>
            <w:proofErr w:type="spellStart"/>
            <w:r>
              <w:t>SCell</w:t>
            </w:r>
            <w:proofErr w:type="spellEnd"/>
            <w:r>
              <w:t xml:space="preserve"> activation. RAN1/4 input required on feasibility and benefit.</w:t>
            </w:r>
          </w:p>
        </w:tc>
      </w:tr>
    </w:tbl>
    <w:p w14:paraId="1FADD7A0" w14:textId="77777777" w:rsidR="00EA54B2" w:rsidRDefault="00EA54B2" w:rsidP="006C59A0"/>
    <w:p w14:paraId="55762AD1" w14:textId="6907BD9E" w:rsidR="009C3A3A" w:rsidRDefault="009C3A3A" w:rsidP="006C59A0">
      <w:r>
        <w:t xml:space="preserve">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w:t>
      </w:r>
      <w:r>
        <w:lastRenderedPageBreak/>
        <w:t xml:space="preserve">signaling from target </w:t>
      </w:r>
      <w:proofErr w:type="spellStart"/>
      <w:r>
        <w:t>SCell</w:t>
      </w:r>
      <w:proofErr w:type="spellEnd"/>
      <w:r>
        <w:t>. Support for triggering A-</w:t>
      </w:r>
      <w:r w:rsidR="006A21CE">
        <w:t>TRS</w:t>
      </w:r>
      <w:r>
        <w:t xml:space="preserve"> and/or A-</w:t>
      </w:r>
      <w:r w:rsidR="006A21CE">
        <w:t>CSI</w:t>
      </w:r>
      <w:r>
        <w:t xml:space="preserve"> from the </w:t>
      </w:r>
      <w:proofErr w:type="spellStart"/>
      <w:r>
        <w:t>SCell</w:t>
      </w:r>
      <w:proofErr w:type="spellEnd"/>
      <w:r>
        <w:t xml:space="preserve"> activation command should be considered.</w:t>
      </w:r>
    </w:p>
    <w:p w14:paraId="31556DEA" w14:textId="77777777" w:rsidR="009C3A3A" w:rsidRDefault="009C3A3A" w:rsidP="009C3A3A">
      <w:pPr>
        <w:keepNext/>
        <w:jc w:val="center"/>
      </w:pPr>
      <w:r>
        <w:rPr>
          <w:rFonts w:asciiTheme="minorHAnsi" w:eastAsiaTheme="minorHAnsi" w:hAnsiTheme="minorHAnsi" w:cstheme="minorBidi"/>
          <w:sz w:val="22"/>
          <w:szCs w:val="22"/>
        </w:rPr>
        <w:object w:dxaOrig="8640" w:dyaOrig="3324" w14:anchorId="2592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150.9pt" o:ole="">
            <v:imagedata r:id="rId12" o:title=""/>
          </v:shape>
          <o:OLEObject Type="Embed" ProgID="Visio.Drawing.11" ShapeID="_x0000_i1025" DrawAspect="Content" ObjectID="_1627480173" r:id="rId13"/>
        </w:object>
      </w:r>
    </w:p>
    <w:p w14:paraId="3566899E" w14:textId="7D5A458C" w:rsidR="009C3A3A" w:rsidRDefault="009C3A3A" w:rsidP="009C3A3A">
      <w:pPr>
        <w:pStyle w:val="Caption"/>
        <w:spacing w:line="280" w:lineRule="atLeast"/>
        <w:jc w:val="center"/>
      </w:pPr>
      <w:bookmarkStart w:id="3" w:name="_Ref525911908"/>
      <w:r>
        <w:t xml:space="preserve">Figure </w:t>
      </w:r>
      <w:r>
        <w:fldChar w:fldCharType="begin"/>
      </w:r>
      <w:r>
        <w:rPr>
          <w:noProof/>
        </w:rPr>
        <w:instrText xml:space="preserve"> SEQ Figure \* ARABIC </w:instrText>
      </w:r>
      <w:r>
        <w:fldChar w:fldCharType="separate"/>
      </w:r>
      <w:r w:rsidR="00FB0BB0">
        <w:rPr>
          <w:noProof/>
        </w:rPr>
        <w:t>1</w:t>
      </w:r>
      <w:r>
        <w:fldChar w:fldCharType="end"/>
      </w:r>
      <w:bookmarkEnd w:id="3"/>
      <w:r>
        <w:rPr>
          <w:noProof/>
        </w:rPr>
        <w:t>:</w:t>
      </w:r>
      <w:r>
        <w:t xml:space="preserve"> NR </w:t>
      </w:r>
      <w:proofErr w:type="spellStart"/>
      <w:r>
        <w:t>SCell</w:t>
      </w:r>
      <w:proofErr w:type="spellEnd"/>
      <w:r>
        <w:t xml:space="preserve"> activation/deactivation timeline with MAC CE command</w:t>
      </w:r>
    </w:p>
    <w:p w14:paraId="39BA438C" w14:textId="77777777" w:rsidR="009C3A3A" w:rsidRDefault="009C3A3A" w:rsidP="009C3A3A"/>
    <w:p w14:paraId="39BE20D6" w14:textId="77777777" w:rsidR="009C3A3A" w:rsidRDefault="009C3A3A" w:rsidP="009C3A3A">
      <w:pPr>
        <w:keepNext/>
        <w:jc w:val="center"/>
      </w:pPr>
      <w:r>
        <w:rPr>
          <w:rFonts w:asciiTheme="minorHAnsi" w:eastAsiaTheme="minorHAnsi" w:hAnsiTheme="minorHAnsi" w:cstheme="minorBidi"/>
          <w:sz w:val="22"/>
          <w:szCs w:val="22"/>
        </w:rPr>
        <w:object w:dxaOrig="7200" w:dyaOrig="2880" w14:anchorId="75ED3134">
          <v:shape id="_x0000_i1026" type="#_x0000_t75" style="width:309.9pt;height:122.1pt" o:ole="">
            <v:imagedata r:id="rId14" o:title=""/>
          </v:shape>
          <o:OLEObject Type="Embed" ProgID="Visio.Drawing.11" ShapeID="_x0000_i1026" DrawAspect="Content" ObjectID="_1627480174" r:id="rId15"/>
        </w:object>
      </w:r>
    </w:p>
    <w:p w14:paraId="4DFE7673" w14:textId="356A8155" w:rsidR="009C3A3A" w:rsidRDefault="009C3A3A" w:rsidP="009C3A3A">
      <w:pPr>
        <w:pStyle w:val="Caption"/>
        <w:spacing w:line="280" w:lineRule="atLeast"/>
        <w:jc w:val="center"/>
      </w:pPr>
      <w:bookmarkStart w:id="4" w:name="_Ref525911945"/>
      <w:r>
        <w:t xml:space="preserve">Figure </w:t>
      </w:r>
      <w:r>
        <w:fldChar w:fldCharType="begin"/>
      </w:r>
      <w:r>
        <w:rPr>
          <w:noProof/>
        </w:rPr>
        <w:instrText xml:space="preserve"> SEQ Figure \* ARABIC </w:instrText>
      </w:r>
      <w:r>
        <w:fldChar w:fldCharType="separate"/>
      </w:r>
      <w:r w:rsidR="00FB0BB0">
        <w:rPr>
          <w:noProof/>
        </w:rPr>
        <w:t>2</w:t>
      </w:r>
      <w:r>
        <w:fldChar w:fldCharType="end"/>
      </w:r>
      <w:bookmarkEnd w:id="4"/>
      <w:r>
        <w:rPr>
          <w:noProof/>
        </w:rPr>
        <w:t>:</w:t>
      </w:r>
      <w:r>
        <w:t xml:space="preserve"> DCI-based fast </w:t>
      </w:r>
      <w:proofErr w:type="spellStart"/>
      <w:r>
        <w:t>SCell</w:t>
      </w:r>
      <w:proofErr w:type="spellEnd"/>
      <w:r>
        <w:t xml:space="preserve"> activation/deactivation procedure timeline</w:t>
      </w:r>
    </w:p>
    <w:p w14:paraId="36130946" w14:textId="77777777" w:rsidR="009C3A3A" w:rsidRDefault="009C3A3A" w:rsidP="009C3A3A"/>
    <w:p w14:paraId="135780B3" w14:textId="39EAFEC5" w:rsidR="009C3A3A" w:rsidRDefault="009C3A3A" w:rsidP="009C3A3A">
      <w:r>
        <w:t xml:space="preserve">Some numerical examples can demonstrate the overall </w:t>
      </w:r>
      <w:proofErr w:type="spellStart"/>
      <w:r>
        <w:t>SCell</w:t>
      </w:r>
      <w:proofErr w:type="spellEnd"/>
      <w:r>
        <w:t xml:space="preserve"> activation latency</w:t>
      </w:r>
      <w:r w:rsidR="000C7848">
        <w:t xml:space="preserve"> improvement</w:t>
      </w:r>
      <w:r>
        <w:t>. For the baseline NR case (</w:t>
      </w:r>
      <w:r>
        <w:fldChar w:fldCharType="begin"/>
      </w:r>
      <w:r>
        <w:instrText xml:space="preserve"> REF _Ref525911908 \h </w:instrText>
      </w:r>
      <w:r>
        <w:fldChar w:fldCharType="separate"/>
      </w:r>
      <w:r w:rsidR="00FB0BB0">
        <w:t xml:space="preserve">Figure </w:t>
      </w:r>
      <w:r w:rsidR="00FB0BB0">
        <w:rPr>
          <w:noProof/>
        </w:rPr>
        <w:t>1</w:t>
      </w:r>
      <w:r>
        <w:fldChar w:fldCharType="end"/>
      </w:r>
      <w:r>
        <w:t xml:space="preserve">), if the </w:t>
      </w:r>
      <w:proofErr w:type="spellStart"/>
      <w:r>
        <w:t>SCell</w:t>
      </w:r>
      <w:proofErr w:type="spellEnd"/>
      <w:r>
        <w:t xml:space="preserve"> is known and in FR1 band, assuming k0=</w:t>
      </w:r>
      <w:r w:rsidR="00626F7C">
        <w:t>0</w:t>
      </w:r>
      <w:r>
        <w:t xml:space="preserve">,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rsidR="00F041BF">
        <w:t xml:space="preserve">TS </w:t>
      </w:r>
      <w:r w:rsidRPr="009024D5">
        <w:t>38.133</w:t>
      </w:r>
      <w:r>
        <w:t xml:space="preserve">) and Z = 1.6 </w:t>
      </w:r>
      <w:proofErr w:type="spellStart"/>
      <w:r>
        <w:t>msec</w:t>
      </w:r>
      <w:proofErr w:type="spellEnd"/>
      <w:r>
        <w:t>, the total activation latency is 2</w:t>
      </w:r>
      <w:r w:rsidR="00C361AB">
        <w:t>8</w:t>
      </w:r>
      <w:r>
        <w:t xml:space="preserve">.6 </w:t>
      </w:r>
      <w:proofErr w:type="spellStart"/>
      <w:r>
        <w:t>msec</w:t>
      </w:r>
      <w:proofErr w:type="spellEnd"/>
      <w:r>
        <w:t xml:space="preserve"> or 4</w:t>
      </w:r>
      <w:r w:rsidR="00C361AB">
        <w:t>8</w:t>
      </w:r>
      <w:r>
        <w:t xml:space="preserve">.6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xml:space="preserve">, respectively. </w:t>
      </w:r>
      <w:r w:rsidR="00AB690F">
        <w:t xml:space="preserve">The latency number for FR2 can be much worse. </w:t>
      </w:r>
      <w:r>
        <w:t>For the proposed optimized case (</w:t>
      </w:r>
      <w:r>
        <w:fldChar w:fldCharType="begin"/>
      </w:r>
      <w:r>
        <w:instrText xml:space="preserve"> REF _Ref525911945 \h </w:instrText>
      </w:r>
      <w:r>
        <w:fldChar w:fldCharType="separate"/>
      </w:r>
      <w:r w:rsidR="00FB0BB0">
        <w:t xml:space="preserve">Figure </w:t>
      </w:r>
      <w:r w:rsidR="00FB0BB0">
        <w:rPr>
          <w:noProof/>
        </w:rPr>
        <w:t>2</w:t>
      </w:r>
      <w:r>
        <w:fldChar w:fldCharType="end"/>
      </w:r>
      <w:r>
        <w:t xml:space="preserve">), k0+X can be assumed to be </w:t>
      </w:r>
      <w:r w:rsidR="00580CE6">
        <w:t xml:space="preserve">3 </w:t>
      </w:r>
      <w:proofErr w:type="spellStart"/>
      <w:r>
        <w:t>msec</w:t>
      </w:r>
      <w:proofErr w:type="spellEnd"/>
      <w:r>
        <w:t xml:space="preserve">, </w:t>
      </w:r>
      <w:r w:rsidR="00580CE6">
        <w:t xml:space="preserve">assuming it can be the </w:t>
      </w:r>
      <w:r>
        <w:t>same as BWP transition latency</w:t>
      </w:r>
      <w:r w:rsidR="00580CE6">
        <w:t xml:space="preserve"> (Type 2</w:t>
      </w:r>
      <w:r w:rsidR="00794221">
        <w:t xml:space="preserve"> as defined in TS 38.133</w:t>
      </w:r>
      <w:r w:rsidR="00580CE6">
        <w:t>)</w:t>
      </w:r>
      <w:r>
        <w:t xml:space="preserve">. Overall, the time span can be about </w:t>
      </w:r>
      <w:r w:rsidR="002C6532">
        <w:t>8</w:t>
      </w:r>
      <w:r>
        <w:t xml:space="preserve">.6 msec. If MAC-CE is used instead of DCI, at least </w:t>
      </w:r>
      <w:r w:rsidR="007377CC">
        <w:t>4</w:t>
      </w:r>
      <w:r>
        <w:t xml:space="preserve"> </w:t>
      </w:r>
      <w:proofErr w:type="spellStart"/>
      <w:r>
        <w:t>msec</w:t>
      </w:r>
      <w:proofErr w:type="spellEnd"/>
      <w:r>
        <w:t xml:space="preserve"> (</w:t>
      </w:r>
      <w:r w:rsidR="00F2071F">
        <w:t>k1</w:t>
      </w:r>
      <w:r>
        <w:t xml:space="preserve"> + </w:t>
      </w:r>
      <w:r w:rsidR="007377CC">
        <w:t xml:space="preserve">MAC-CE </w:t>
      </w:r>
      <w:r>
        <w:t xml:space="preserve">processing time) needs to be added, and it would be a significant percentage of the overall timeline (i.e. </w:t>
      </w:r>
      <w:r w:rsidR="007377CC">
        <w:t xml:space="preserve">4 </w:t>
      </w:r>
      <w:r>
        <w:t xml:space="preserve">/ </w:t>
      </w:r>
      <w:r w:rsidR="00E20424">
        <w:t>8</w:t>
      </w:r>
      <w:r>
        <w:t xml:space="preserve">.6 = </w:t>
      </w:r>
      <w:r w:rsidR="00E20424">
        <w:t>47</w:t>
      </w:r>
      <w:r>
        <w:t>% increase). It should be justifiable to adopt DCI-signaling.</w:t>
      </w:r>
      <w:r w:rsidR="005B1E77">
        <w:t xml:space="preserve"> DCI design consideration is discussed in</w:t>
      </w:r>
      <w:r w:rsidR="00FB0BB0">
        <w:fldChar w:fldCharType="begin"/>
      </w:r>
      <w:r w:rsidR="00FB0BB0">
        <w:instrText xml:space="preserve"> REF _Ref16845142 \r \h </w:instrText>
      </w:r>
      <w:r w:rsidR="00FB0BB0">
        <w:fldChar w:fldCharType="separate"/>
      </w:r>
      <w:r w:rsidR="00FB0BB0">
        <w:t>2.3.1</w:t>
      </w:r>
      <w:r w:rsidR="00FB0BB0">
        <w:fldChar w:fldCharType="end"/>
      </w:r>
      <w:r w:rsidR="005B1E77">
        <w:t>.</w:t>
      </w:r>
    </w:p>
    <w:p w14:paraId="78CDF4BE" w14:textId="5C2574A5" w:rsidR="009C3A3A" w:rsidRDefault="009C3A3A" w:rsidP="009C3A3A">
      <w:pPr>
        <w:pStyle w:val="Caption"/>
      </w:pPr>
      <w:bookmarkStart w:id="5" w:name="_Toc16865493"/>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FB0BB0">
        <w:rPr>
          <w:noProof/>
        </w:rPr>
        <w:t>1</w:t>
      </w:r>
      <w:r w:rsidR="00B3148D">
        <w:rPr>
          <w:noProof/>
        </w:rPr>
        <w:fldChar w:fldCharType="end"/>
      </w:r>
      <w:r>
        <w:t xml:space="preserve">: </w:t>
      </w:r>
      <w:r w:rsidR="00F041BF">
        <w:t xml:space="preserve">A-TRS/CSI triggering from </w:t>
      </w:r>
      <w:proofErr w:type="spellStart"/>
      <w:r w:rsidR="00F041BF">
        <w:t>SCell</w:t>
      </w:r>
      <w:proofErr w:type="spellEnd"/>
      <w:r w:rsidR="00F041BF">
        <w:t xml:space="preserve"> activation command should be supported in Rel-16 to greatly reduce </w:t>
      </w:r>
      <w:proofErr w:type="spellStart"/>
      <w:r w:rsidR="00F041BF">
        <w:t>SCell</w:t>
      </w:r>
      <w:proofErr w:type="spellEnd"/>
      <w:r w:rsidR="00F041BF">
        <w:t xml:space="preserve"> activation time.</w:t>
      </w:r>
      <w:bookmarkEnd w:id="5"/>
    </w:p>
    <w:p w14:paraId="56E5DAE8" w14:textId="35E603E2" w:rsidR="009C3A3A" w:rsidRPr="009C3A3A" w:rsidRDefault="009C3A3A" w:rsidP="009C3A3A">
      <w:pPr>
        <w:pStyle w:val="Caption"/>
      </w:pPr>
      <w:bookmarkStart w:id="6" w:name="_Toc16865494"/>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FB0BB0">
        <w:rPr>
          <w:noProof/>
        </w:rPr>
        <w:t>2</w:t>
      </w:r>
      <w:r w:rsidR="00B3148D">
        <w:rPr>
          <w:noProof/>
        </w:rPr>
        <w:fldChar w:fldCharType="end"/>
      </w:r>
      <w:r>
        <w:t xml:space="preserve">: </w:t>
      </w:r>
      <w:r w:rsidR="00F041BF">
        <w:t xml:space="preserve">DCI-based signaling for </w:t>
      </w:r>
      <w:proofErr w:type="spellStart"/>
      <w:r w:rsidR="00F041BF">
        <w:t>SCell</w:t>
      </w:r>
      <w:proofErr w:type="spellEnd"/>
      <w:r w:rsidR="00F041BF">
        <w:t xml:space="preserve"> activation/deactivation should be supported in Rel-16, if other enhancements are also adopted to greatly reduce the overall activation timeline</w:t>
      </w:r>
      <w:r w:rsidR="00BE37C0">
        <w:t xml:space="preserve"> compared to Rel-15</w:t>
      </w:r>
      <w:r>
        <w:t>.</w:t>
      </w:r>
      <w:bookmarkEnd w:id="6"/>
    </w:p>
    <w:p w14:paraId="4F3A1231" w14:textId="77777777" w:rsidR="007F5B74" w:rsidRDefault="007F5B74" w:rsidP="00544425">
      <w:pPr>
        <w:rPr>
          <w:lang w:val="en-GB"/>
        </w:rPr>
      </w:pPr>
    </w:p>
    <w:p w14:paraId="2BC3786D" w14:textId="11313224" w:rsidR="00D916B3" w:rsidRDefault="00D916B3" w:rsidP="00D916B3">
      <w:pPr>
        <w:pStyle w:val="Heading2"/>
      </w:pPr>
      <w:proofErr w:type="spellStart"/>
      <w:r>
        <w:t>SCell</w:t>
      </w:r>
      <w:proofErr w:type="spellEnd"/>
      <w:r>
        <w:t xml:space="preserve"> Dormancy</w:t>
      </w:r>
    </w:p>
    <w:p w14:paraId="43FC72DE" w14:textId="2D86CD8F" w:rsidR="00F36B72" w:rsidRDefault="00D916B3" w:rsidP="00C72E5F">
      <w:r>
        <w:t>In</w:t>
      </w:r>
      <w:r w:rsidRPr="00B30F45">
        <w:t xml:space="preserve"> Rel-15 LTE </w:t>
      </w:r>
      <w:proofErr w:type="spellStart"/>
      <w:r w:rsidRPr="00B30F45">
        <w:t>euCA</w:t>
      </w:r>
      <w:proofErr w:type="spellEnd"/>
      <w:r w:rsidR="004B2006">
        <w:t xml:space="preserve"> </w:t>
      </w:r>
      <w:r w:rsidR="000C65AB">
        <w:fldChar w:fldCharType="begin"/>
      </w:r>
      <w:r w:rsidR="000C65AB">
        <w:instrText xml:space="preserve"> REF _Ref525936700 \r \h </w:instrText>
      </w:r>
      <w:r w:rsidR="000C65AB">
        <w:fldChar w:fldCharType="separate"/>
      </w:r>
      <w:r w:rsidR="00FB0BB0">
        <w:t>[1]</w:t>
      </w:r>
      <w:r w:rsidR="000C65AB">
        <w:fldChar w:fldCharType="end"/>
      </w:r>
      <w:r w:rsidRPr="00075F9A">
        <w:t xml:space="preserve">, a new </w:t>
      </w:r>
      <w:proofErr w:type="spellStart"/>
      <w:r w:rsidRPr="00075F9A">
        <w:t>SCell</w:t>
      </w:r>
      <w:proofErr w:type="spellEnd"/>
      <w:r w:rsidRPr="00075F9A">
        <w:t xml:space="preserve"> state, distinct from </w:t>
      </w:r>
      <w:r>
        <w:t xml:space="preserve">legacy </w:t>
      </w:r>
      <w:r w:rsidRPr="00075F9A">
        <w:t xml:space="preserve">activated and deactivated state, </w:t>
      </w:r>
      <w:r>
        <w:t>is</w:t>
      </w:r>
      <w:r w:rsidRPr="00075F9A">
        <w:t xml:space="preserve"> introduced. This new state allows periodic CSI of the </w:t>
      </w:r>
      <w:proofErr w:type="spellStart"/>
      <w:r w:rsidRPr="00075F9A">
        <w:t>SCell</w:t>
      </w:r>
      <w:proofErr w:type="spellEnd"/>
      <w:r w:rsidRPr="00075F9A">
        <w:t xml:space="preserve"> to be measured and reported, but otherwise is similar to legacy deactivated state</w:t>
      </w:r>
      <w:r w:rsidRPr="001959D9">
        <w:t xml:space="preserve">: no data </w:t>
      </w:r>
      <w:r>
        <w:t xml:space="preserve">transfer </w:t>
      </w:r>
      <w:r w:rsidRPr="001959D9">
        <w:t xml:space="preserve">and </w:t>
      </w:r>
      <w:r>
        <w:t xml:space="preserve">no </w:t>
      </w:r>
      <w:r w:rsidRPr="001959D9">
        <w:t xml:space="preserve">PDCCH </w:t>
      </w:r>
      <w:r>
        <w:t xml:space="preserve">monitoring is expected </w:t>
      </w:r>
      <w:r w:rsidRPr="00CC50CB">
        <w:t xml:space="preserve">on the </w:t>
      </w:r>
      <w:proofErr w:type="spellStart"/>
      <w:r w:rsidRPr="00CC50CB">
        <w:t>SCell</w:t>
      </w:r>
      <w:proofErr w:type="spellEnd"/>
      <w:r w:rsidRPr="00B30F45">
        <w:t xml:space="preserve">. The advantage is that the latency of transition into active state from this new state is reduced significantly compared to transition from deactivated state. The UE power consumption in the new state is much lower than that in active state and can be slightly higher than that in deactivated state. </w:t>
      </w:r>
      <w:r w:rsidR="00846BFF">
        <w:t>The ability to do f</w:t>
      </w:r>
      <w:r w:rsidRPr="00B30F45">
        <w:t xml:space="preserve">ast state transition </w:t>
      </w:r>
      <w:r w:rsidR="00846BFF">
        <w:t>between</w:t>
      </w:r>
      <w:r w:rsidRPr="00B30F45">
        <w:t xml:space="preserve"> low power new state to high power active state results in reduced </w:t>
      </w:r>
      <w:r w:rsidRPr="00B30F45">
        <w:lastRenderedPageBreak/>
        <w:t xml:space="preserve">overall UE power consumption for most traffic patterns. </w:t>
      </w:r>
      <w:r w:rsidR="00F36B72">
        <w:t xml:space="preserve">In RAN2, companies have </w:t>
      </w:r>
      <w:r w:rsidR="003B48FF">
        <w:t xml:space="preserve">also </w:t>
      </w:r>
      <w:r w:rsidR="00F36B72">
        <w:t>discussed the dormancy behavior</w:t>
      </w:r>
      <w:r w:rsidR="006504B6">
        <w:t xml:space="preserve"> for NR fast </w:t>
      </w:r>
      <w:proofErr w:type="spellStart"/>
      <w:r w:rsidR="006504B6">
        <w:t>SCell</w:t>
      </w:r>
      <w:proofErr w:type="spellEnd"/>
      <w:r w:rsidR="006504B6">
        <w:t xml:space="preserve"> activation</w:t>
      </w:r>
      <w:r w:rsidR="00F36B72">
        <w:t xml:space="preserve"> and reached the following agreements </w:t>
      </w:r>
      <w:r w:rsidR="00F36B72">
        <w:fldChar w:fldCharType="begin"/>
      </w:r>
      <w:r w:rsidR="00F36B72">
        <w:instrText xml:space="preserve"> REF _Ref16778359 \r \h </w:instrText>
      </w:r>
      <w:r w:rsidR="00F36B72">
        <w:fldChar w:fldCharType="separate"/>
      </w:r>
      <w:r w:rsidR="00FB0BB0">
        <w:t>[5]</w:t>
      </w:r>
      <w:r w:rsidR="00F36B72">
        <w:fldChar w:fldCharType="end"/>
      </w:r>
      <w:r w:rsidR="00F36B72">
        <w:t xml:space="preserve">. </w:t>
      </w:r>
    </w:p>
    <w:tbl>
      <w:tblPr>
        <w:tblStyle w:val="TableGrid"/>
        <w:tblW w:w="0" w:type="auto"/>
        <w:tblLook w:val="04A0" w:firstRow="1" w:lastRow="0" w:firstColumn="1" w:lastColumn="0" w:noHBand="0" w:noVBand="1"/>
      </w:tblPr>
      <w:tblGrid>
        <w:gridCol w:w="9628"/>
      </w:tblGrid>
      <w:tr w:rsidR="00F36B72" w14:paraId="595F8FB3" w14:textId="77777777" w:rsidTr="00231D9B">
        <w:tc>
          <w:tcPr>
            <w:tcW w:w="9628" w:type="dxa"/>
          </w:tcPr>
          <w:p w14:paraId="46CF94ED" w14:textId="77777777" w:rsidR="00F36B72" w:rsidRDefault="00F36B72" w:rsidP="00231D9B">
            <w:pPr>
              <w:spacing w:line="276" w:lineRule="auto"/>
            </w:pPr>
            <w:r>
              <w:t>Agreement</w:t>
            </w:r>
          </w:p>
          <w:p w14:paraId="24911F9E" w14:textId="77777777" w:rsidR="00F36B72" w:rsidRDefault="00F36B72" w:rsidP="00231D9B">
            <w:pPr>
              <w:pStyle w:val="ListParagraph"/>
              <w:numPr>
                <w:ilvl w:val="0"/>
                <w:numId w:val="54"/>
              </w:numPr>
              <w:spacing w:line="276" w:lineRule="auto"/>
            </w:pPr>
            <w:proofErr w:type="spellStart"/>
            <w:r>
              <w:t>SCell</w:t>
            </w:r>
            <w:proofErr w:type="spellEnd"/>
            <w:r>
              <w:t xml:space="preserve"> dormant state like LTE </w:t>
            </w:r>
            <w:proofErr w:type="spellStart"/>
            <w:r>
              <w:t>euCA</w:t>
            </w:r>
            <w:proofErr w:type="spellEnd"/>
            <w:r>
              <w:t xml:space="preserve"> will not be introduced in NR</w:t>
            </w:r>
          </w:p>
          <w:p w14:paraId="6E76A9DE" w14:textId="77777777" w:rsidR="00F36B72" w:rsidRDefault="00F36B72" w:rsidP="00231D9B">
            <w:pPr>
              <w:pStyle w:val="ListParagraph"/>
              <w:numPr>
                <w:ilvl w:val="0"/>
                <w:numId w:val="54"/>
              </w:numPr>
              <w:spacing w:line="276" w:lineRule="auto"/>
            </w:pPr>
            <w:r>
              <w:t xml:space="preserve">‘dormancy’ behaviour will be studied as a solution for fast return to </w:t>
            </w:r>
            <w:proofErr w:type="spellStart"/>
            <w:r>
              <w:t>SCell</w:t>
            </w:r>
            <w:proofErr w:type="spellEnd"/>
            <w:r>
              <w:t xml:space="preserve"> utilisation for data transfer. The 'dormancy' behaviour implies that the UE stops monitoring PDCCH but continues other activities such as CSI measurements, AGC and beam management. RAN1/4 input required on feasibility and benefit</w:t>
            </w:r>
          </w:p>
        </w:tc>
      </w:tr>
    </w:tbl>
    <w:p w14:paraId="10AE5204" w14:textId="77777777" w:rsidR="002E4244" w:rsidRDefault="002E4244" w:rsidP="006A5F25"/>
    <w:p w14:paraId="7C527E50" w14:textId="4F47CDC8" w:rsidR="006A5F25" w:rsidRDefault="006A3FC1" w:rsidP="006A5F25">
      <w:r>
        <w:t>It is acknowledged that</w:t>
      </w:r>
      <w:r w:rsidR="006A5F25">
        <w:t xml:space="preserve"> </w:t>
      </w:r>
      <w:r w:rsidR="00CF6DBA">
        <w:t>“</w:t>
      </w:r>
      <w:r w:rsidR="006A5F25">
        <w:t>dormancy</w:t>
      </w:r>
      <w:r w:rsidR="00CF6DBA">
        <w:t>”</w:t>
      </w:r>
      <w:r>
        <w:t xml:space="preserve"> behavior</w:t>
      </w:r>
      <w:r w:rsidR="006A5F25">
        <w:t xml:space="preserve"> </w:t>
      </w:r>
      <w:r>
        <w:t xml:space="preserve">can be </w:t>
      </w:r>
      <w:r w:rsidR="006A5F25">
        <w:t xml:space="preserve">useful </w:t>
      </w:r>
      <w:r>
        <w:t xml:space="preserve">for fast return to </w:t>
      </w:r>
      <w:proofErr w:type="spellStart"/>
      <w:r>
        <w:t>SCell</w:t>
      </w:r>
      <w:proofErr w:type="spellEnd"/>
      <w:r>
        <w:t xml:space="preserve"> utilization for data transfer</w:t>
      </w:r>
      <w:r w:rsidR="006A5F25">
        <w:t xml:space="preserve">: the time-consuming parts (i.e. </w:t>
      </w:r>
      <w:r w:rsidR="006A5F25" w:rsidRPr="00D7336A">
        <w:t xml:space="preserve">AGC, </w:t>
      </w:r>
      <w:r w:rsidR="006A5F25">
        <w:t xml:space="preserve">initial </w:t>
      </w:r>
      <w:r w:rsidR="006A5F25" w:rsidRPr="00D7336A">
        <w:t>CQI warm up, beam management and MIB reading)</w:t>
      </w:r>
      <w:r w:rsidR="006A5F25">
        <w:t xml:space="preserve"> can also be performed when the UE doesn’t monitor PDCCH/PDSCH, to reduce </w:t>
      </w:r>
      <w:r>
        <w:t xml:space="preserve">the latency to return to </w:t>
      </w:r>
      <w:proofErr w:type="spellStart"/>
      <w:r>
        <w:t>SCell</w:t>
      </w:r>
      <w:proofErr w:type="spellEnd"/>
      <w:r>
        <w:t xml:space="preserve"> utilization</w:t>
      </w:r>
      <w:r w:rsidR="006A5F25">
        <w:t>. Note that AGC, initial CQI warm up, beam management and MIB reading can be all performed based on SSB. Thus, a separate SMTC monitoring cycle can also be configured to balance the UE power consumption and latency reduction.</w:t>
      </w:r>
    </w:p>
    <w:p w14:paraId="5F6730FF" w14:textId="2D4D9539" w:rsidR="009B7C41" w:rsidRDefault="009B7C41" w:rsidP="00AB7C54">
      <w:pPr>
        <w:pStyle w:val="Caption"/>
      </w:pPr>
      <w:bookmarkStart w:id="7" w:name="_Toc16865491"/>
      <w:r>
        <w:t xml:space="preserve">Observation </w:t>
      </w:r>
      <w:fldSimple w:instr=" SEQ Observation \* ARABIC ">
        <w:r w:rsidR="00FB0BB0">
          <w:rPr>
            <w:noProof/>
          </w:rPr>
          <w:t>1</w:t>
        </w:r>
      </w:fldSimple>
      <w:r>
        <w:t xml:space="preserve">: </w:t>
      </w:r>
      <w:r w:rsidRPr="00D176D9">
        <w:t xml:space="preserve">In NR, AGC, </w:t>
      </w:r>
      <w:r>
        <w:t xml:space="preserve">initial </w:t>
      </w:r>
      <w:r w:rsidRPr="00D176D9">
        <w:t xml:space="preserve">CQI warm up, beam management and MIB reading </w:t>
      </w:r>
      <w:r>
        <w:t>can be</w:t>
      </w:r>
      <w:r w:rsidRPr="00D176D9">
        <w:t xml:space="preserve"> all performed based on SSB</w:t>
      </w:r>
      <w:r>
        <w:t xml:space="preserve"> monitoring</w:t>
      </w:r>
      <w:r w:rsidRPr="00D176D9">
        <w:t>.</w:t>
      </w:r>
      <w:bookmarkEnd w:id="7"/>
    </w:p>
    <w:p w14:paraId="60B566A9" w14:textId="3A0E4EEE" w:rsidR="0059064B" w:rsidRDefault="0059064B" w:rsidP="0059064B">
      <w:pPr>
        <w:pStyle w:val="Caption"/>
      </w:pPr>
      <w:bookmarkStart w:id="8" w:name="_Toc16865492"/>
      <w:r>
        <w:t xml:space="preserve">Observation </w:t>
      </w:r>
      <w:fldSimple w:instr=" SEQ Observation \* ARABIC ">
        <w:r w:rsidR="00FB0BB0">
          <w:rPr>
            <w:noProof/>
          </w:rPr>
          <w:t>2</w:t>
        </w:r>
      </w:fldSimple>
      <w:r>
        <w:t xml:space="preserve">: Not monitoring PDCCH on </w:t>
      </w:r>
      <w:proofErr w:type="spellStart"/>
      <w:r>
        <w:t>SCell</w:t>
      </w:r>
      <w:proofErr w:type="spellEnd"/>
      <w:r>
        <w:t xml:space="preserve"> is a necessary but not a sufficient condition for improving </w:t>
      </w:r>
      <w:proofErr w:type="spellStart"/>
      <w:r>
        <w:t>SCell</w:t>
      </w:r>
      <w:proofErr w:type="spellEnd"/>
      <w:r>
        <w:t xml:space="preserve"> energy efficiency. Other periodic activities including CSI measurement and reporting, beam management, and/or RRM may still be performed at much reduced duty cycle. There is tradeoff between minimizing </w:t>
      </w:r>
      <w:proofErr w:type="spellStart"/>
      <w:r>
        <w:t>SCell</w:t>
      </w:r>
      <w:proofErr w:type="spellEnd"/>
      <w:r>
        <w:t xml:space="preserve"> power consumption level and maintaining sufficient state information about the </w:t>
      </w:r>
      <w:proofErr w:type="spellStart"/>
      <w:r>
        <w:t>SCell</w:t>
      </w:r>
      <w:proofErr w:type="spellEnd"/>
      <w:r>
        <w:t xml:space="preserve"> such that UE can very quickly </w:t>
      </w:r>
      <w:r w:rsidR="006A3FC1">
        <w:t xml:space="preserve">return to </w:t>
      </w:r>
      <w:proofErr w:type="spellStart"/>
      <w:r w:rsidR="006A3FC1">
        <w:t>SCell</w:t>
      </w:r>
      <w:proofErr w:type="spellEnd"/>
      <w:r w:rsidR="006A3FC1">
        <w:t xml:space="preserve"> utilization</w:t>
      </w:r>
      <w:r>
        <w:t xml:space="preserve"> when traffic arrives.</w:t>
      </w:r>
      <w:bookmarkEnd w:id="8"/>
    </w:p>
    <w:p w14:paraId="2B37E516" w14:textId="77777777" w:rsidR="002B3708" w:rsidRDefault="002B3708" w:rsidP="00AB7C54">
      <w:pPr>
        <w:pStyle w:val="Caption"/>
      </w:pPr>
      <w:bookmarkStart w:id="9" w:name="_Toc16865495"/>
    </w:p>
    <w:p w14:paraId="6F0B5AE4" w14:textId="783BDA70" w:rsidR="009B7C41" w:rsidRPr="00AB7C54" w:rsidRDefault="009B7C41" w:rsidP="00AB7C54">
      <w:pPr>
        <w:pStyle w:val="Caption"/>
        <w:rPr>
          <w:b w:val="0"/>
        </w:rPr>
      </w:pPr>
      <w:bookmarkStart w:id="10" w:name="_GoBack"/>
      <w:bookmarkEnd w:id="10"/>
      <w:r>
        <w:t xml:space="preserve">Proposal </w:t>
      </w:r>
      <w:fldSimple w:instr=" SEQ Proposal \* ARABIC ">
        <w:r w:rsidR="00FB0BB0">
          <w:rPr>
            <w:noProof/>
          </w:rPr>
          <w:t>3</w:t>
        </w:r>
      </w:fldSimple>
      <w:r>
        <w:t>:</w:t>
      </w:r>
      <w:r w:rsidRPr="009B7C41">
        <w:t xml:space="preserve"> </w:t>
      </w:r>
      <w:r w:rsidR="00965DB2">
        <w:t>“</w:t>
      </w:r>
      <w:r w:rsidR="006A3FC1">
        <w:t>D</w:t>
      </w:r>
      <w:r>
        <w:t>ormancy</w:t>
      </w:r>
      <w:r w:rsidR="00965DB2">
        <w:t>”</w:t>
      </w:r>
      <w:r>
        <w:t xml:space="preserve"> behavior can be supported in NR, i.e. the UE can</w:t>
      </w:r>
      <w:r w:rsidRPr="00D75B19">
        <w:t xml:space="preserve"> </w:t>
      </w:r>
      <w:r>
        <w:t>be configured</w:t>
      </w:r>
      <w:r w:rsidRPr="00D75B19">
        <w:t xml:space="preserve"> </w:t>
      </w:r>
      <w:r>
        <w:t xml:space="preserve">to measure SSB with a separate SMTC monitoring cycle for </w:t>
      </w:r>
      <w:r w:rsidRPr="00D176D9">
        <w:t xml:space="preserve">AGC, </w:t>
      </w:r>
      <w:r>
        <w:t xml:space="preserve">initial </w:t>
      </w:r>
      <w:r w:rsidRPr="00D176D9">
        <w:t xml:space="preserve">CQI warm up, beam management and MIB reading </w:t>
      </w:r>
      <w:r w:rsidRPr="00D75B19">
        <w:t xml:space="preserve">when no PDCCH/PDSCH </w:t>
      </w:r>
      <w:r>
        <w:t>is expected, to achieve</w:t>
      </w:r>
      <w:r w:rsidR="009E7F22">
        <w:t xml:space="preserve"> good</w:t>
      </w:r>
      <w:r>
        <w:t xml:space="preserve"> trade-off between latency reduction </w:t>
      </w:r>
      <w:r w:rsidR="009E7F22">
        <w:t xml:space="preserve">for return to </w:t>
      </w:r>
      <w:proofErr w:type="spellStart"/>
      <w:r w:rsidR="009E7F22">
        <w:t>SCell</w:t>
      </w:r>
      <w:proofErr w:type="spellEnd"/>
      <w:r w:rsidR="009E7F22">
        <w:t xml:space="preserve"> utilization </w:t>
      </w:r>
      <w:r>
        <w:t>and UE power consumption.</w:t>
      </w:r>
      <w:bookmarkEnd w:id="9"/>
    </w:p>
    <w:p w14:paraId="6D40598F" w14:textId="77777777" w:rsidR="00D916B3" w:rsidRDefault="00D916B3" w:rsidP="00D916B3"/>
    <w:p w14:paraId="58B8C7B9" w14:textId="057DD2E6" w:rsidR="00D916B3" w:rsidRPr="00313428" w:rsidRDefault="00D916B3" w:rsidP="00D916B3">
      <w:pPr>
        <w:pStyle w:val="Heading3"/>
      </w:pPr>
      <w:bookmarkStart w:id="11" w:name="_Ref528665980"/>
      <w:bookmarkStart w:id="12" w:name="_Ref4744460"/>
      <w:r w:rsidRPr="00313428">
        <w:t>Dormant BWP</w:t>
      </w:r>
      <w:bookmarkEnd w:id="11"/>
      <w:r w:rsidR="00846BFF">
        <w:t xml:space="preserve"> for </w:t>
      </w:r>
      <w:proofErr w:type="spellStart"/>
      <w:r w:rsidR="00846BFF">
        <w:t>SCell</w:t>
      </w:r>
      <w:bookmarkEnd w:id="12"/>
      <w:proofErr w:type="spellEnd"/>
    </w:p>
    <w:p w14:paraId="380C4B40" w14:textId="4A2E8D70" w:rsidR="00326B32" w:rsidRDefault="00FA2813" w:rsidP="00AD01BF">
      <w:pPr>
        <w:spacing w:before="120" w:line="276" w:lineRule="auto"/>
      </w:pPr>
      <w:r>
        <w:t>One major difference between NR and LTE is that NR supports BWP</w:t>
      </w:r>
      <w:r w:rsidR="0022721E">
        <w:t xml:space="preserve"> operation. In LTE </w:t>
      </w:r>
      <w:proofErr w:type="spellStart"/>
      <w:r w:rsidR="0022721E">
        <w:t>euCA</w:t>
      </w:r>
      <w:proofErr w:type="spellEnd"/>
      <w:r w:rsidR="0022721E">
        <w:t xml:space="preserve">, in order to support “dormancy” behavior for </w:t>
      </w:r>
      <w:proofErr w:type="spellStart"/>
      <w:r w:rsidR="0022721E">
        <w:t>SCell</w:t>
      </w:r>
      <w:proofErr w:type="spellEnd"/>
      <w:r w:rsidR="0022721E">
        <w:t xml:space="preserve">, dormant </w:t>
      </w:r>
      <w:proofErr w:type="spellStart"/>
      <w:r w:rsidR="0022721E">
        <w:t>SCell</w:t>
      </w:r>
      <w:proofErr w:type="spellEnd"/>
      <w:r w:rsidR="0022721E">
        <w:t xml:space="preserve"> state with new MAC-CE-based transitions and new procedures in MAC layer was introduced. In NR, it is not necessary to introduce </w:t>
      </w:r>
      <w:proofErr w:type="spellStart"/>
      <w:r w:rsidR="0022721E">
        <w:t>SCell</w:t>
      </w:r>
      <w:proofErr w:type="spellEnd"/>
      <w:r w:rsidR="0022721E">
        <w:t xml:space="preserve"> dormant state, because </w:t>
      </w:r>
      <w:proofErr w:type="spellStart"/>
      <w:r w:rsidR="001B126B">
        <w:t>SCell</w:t>
      </w:r>
      <w:proofErr w:type="spellEnd"/>
      <w:r w:rsidR="00326B32">
        <w:t xml:space="preserve"> </w:t>
      </w:r>
      <w:r w:rsidR="001B126B">
        <w:t>“</w:t>
      </w:r>
      <w:r w:rsidR="00326B32">
        <w:t xml:space="preserve">dormancy” behavior </w:t>
      </w:r>
      <w:r w:rsidR="0022721E">
        <w:t xml:space="preserve">can be </w:t>
      </w:r>
      <w:r w:rsidR="00326B32">
        <w:t xml:space="preserve">achieved </w:t>
      </w:r>
      <w:r w:rsidR="0022721E">
        <w:t>on the BWP level</w:t>
      </w:r>
      <w:r w:rsidR="00FE53DD">
        <w:t xml:space="preserve">. The BWP that supports “dormancy” behavior for the </w:t>
      </w:r>
      <w:proofErr w:type="spellStart"/>
      <w:r w:rsidR="00FE53DD">
        <w:t>SCell</w:t>
      </w:r>
      <w:proofErr w:type="spellEnd"/>
      <w:r w:rsidR="00FE53DD">
        <w:t xml:space="preserve"> is referred to as the “</w:t>
      </w:r>
      <w:r w:rsidR="0022721E">
        <w:t>dormant BWP</w:t>
      </w:r>
      <w:r w:rsidR="00FE53DD">
        <w:t>”</w:t>
      </w:r>
      <w:r w:rsidR="00326B32">
        <w:t>. Specifically, the dormant BWP requires:</w:t>
      </w:r>
    </w:p>
    <w:p w14:paraId="4AAF95B7" w14:textId="773AA8B6" w:rsidR="00326B32" w:rsidRDefault="00326B32" w:rsidP="00326B32">
      <w:pPr>
        <w:numPr>
          <w:ilvl w:val="0"/>
          <w:numId w:val="49"/>
        </w:numPr>
        <w:spacing w:after="0" w:line="276" w:lineRule="auto"/>
        <w:textAlignment w:val="auto"/>
      </w:pPr>
      <w:r>
        <w:t>One particular BWP without PDCCH/PDSCH configuration is configured in RRC, i.e. dormant BWP.</w:t>
      </w:r>
    </w:p>
    <w:p w14:paraId="2067396B" w14:textId="4FDEBBAF" w:rsidR="00FE53DD" w:rsidRDefault="00FE53DD" w:rsidP="00AB7C54">
      <w:pPr>
        <w:numPr>
          <w:ilvl w:val="1"/>
          <w:numId w:val="49"/>
        </w:numPr>
        <w:spacing w:after="0" w:line="276" w:lineRule="auto"/>
        <w:textAlignment w:val="auto"/>
      </w:pPr>
      <w:r>
        <w:t>No PDCCH monitoring configuration is already supported based on Rel-15 specification by configuring no search space for the particular BWP.</w:t>
      </w:r>
    </w:p>
    <w:p w14:paraId="4D0F618D" w14:textId="2F1F0E52" w:rsidR="00326B32" w:rsidRDefault="00326B32" w:rsidP="00326B32">
      <w:pPr>
        <w:numPr>
          <w:ilvl w:val="0"/>
          <w:numId w:val="49"/>
        </w:numPr>
        <w:spacing w:after="0" w:line="276" w:lineRule="auto"/>
        <w:textAlignment w:val="auto"/>
      </w:pPr>
      <w:r>
        <w:t xml:space="preserve">No new </w:t>
      </w:r>
      <w:proofErr w:type="spellStart"/>
      <w:r>
        <w:t>SCell</w:t>
      </w:r>
      <w:proofErr w:type="spellEnd"/>
      <w:r>
        <w:t xml:space="preserve"> state (i.e. </w:t>
      </w:r>
      <w:proofErr w:type="spellStart"/>
      <w:r>
        <w:t>SCell</w:t>
      </w:r>
      <w:proofErr w:type="spellEnd"/>
      <w:r>
        <w:t xml:space="preserve"> dormant) is introduced, and thereby no MAC-CE state transition is required. All the state transitions in dormant BWP framework are shown in</w:t>
      </w:r>
      <w:r w:rsidR="00FE53DD">
        <w:t xml:space="preserve"> </w:t>
      </w:r>
      <w:r w:rsidR="00FE53DD">
        <w:fldChar w:fldCharType="begin"/>
      </w:r>
      <w:r w:rsidR="00FE53DD">
        <w:instrText xml:space="preserve"> REF _Ref4712420 \h </w:instrText>
      </w:r>
      <w:r w:rsidR="00FE53DD">
        <w:fldChar w:fldCharType="separate"/>
      </w:r>
      <w:r w:rsidR="00FB0BB0">
        <w:t xml:space="preserve">Table </w:t>
      </w:r>
      <w:r w:rsidR="00FB0BB0">
        <w:rPr>
          <w:noProof/>
        </w:rPr>
        <w:t>1</w:t>
      </w:r>
      <w:r w:rsidR="00FE53DD">
        <w:fldChar w:fldCharType="end"/>
      </w:r>
      <w:r>
        <w:t xml:space="preserve"> and </w:t>
      </w:r>
      <w:r w:rsidR="00FE53DD">
        <w:fldChar w:fldCharType="begin"/>
      </w:r>
      <w:r w:rsidR="00FE53DD">
        <w:instrText xml:space="preserve"> REF _Ref4540379 \h </w:instrText>
      </w:r>
      <w:r w:rsidR="00FE53DD">
        <w:fldChar w:fldCharType="separate"/>
      </w:r>
      <w:r w:rsidR="00FB0BB0">
        <w:t xml:space="preserve">Figure </w:t>
      </w:r>
      <w:r w:rsidR="00FB0BB0">
        <w:rPr>
          <w:noProof/>
        </w:rPr>
        <w:t>3</w:t>
      </w:r>
      <w:r w:rsidR="00FE53DD">
        <w:fldChar w:fldCharType="end"/>
      </w:r>
      <w:r>
        <w:t xml:space="preserve">. </w:t>
      </w:r>
    </w:p>
    <w:p w14:paraId="621E306B" w14:textId="6BC76E74" w:rsidR="00326B32" w:rsidRDefault="00326B32" w:rsidP="00326B32">
      <w:pPr>
        <w:numPr>
          <w:ilvl w:val="1"/>
          <w:numId w:val="49"/>
        </w:numPr>
        <w:spacing w:after="0" w:line="276" w:lineRule="auto"/>
        <w:textAlignment w:val="auto"/>
      </w:pPr>
      <w:r>
        <w:t xml:space="preserve">The only new signaling or behavior is for the transition from dormant BWP to active BWP with PDCCH/PDSCH configuration because the UE is not expected to receive DCI </w:t>
      </w:r>
      <w:r w:rsidR="004015A0">
        <w:t xml:space="preserve">on the </w:t>
      </w:r>
      <w:proofErr w:type="spellStart"/>
      <w:r w:rsidR="004015A0">
        <w:t>SCell</w:t>
      </w:r>
      <w:proofErr w:type="spellEnd"/>
      <w:r w:rsidR="004015A0">
        <w:t xml:space="preserve"> </w:t>
      </w:r>
      <w:r>
        <w:t xml:space="preserve">in dormant BWP. We have two alternatives to address it: </w:t>
      </w:r>
    </w:p>
    <w:p w14:paraId="7264CF63" w14:textId="7F72F19C" w:rsidR="003D3FA3" w:rsidRDefault="00326B32" w:rsidP="001B244C">
      <w:pPr>
        <w:numPr>
          <w:ilvl w:val="2"/>
          <w:numId w:val="49"/>
        </w:numPr>
        <w:spacing w:after="0" w:line="276" w:lineRule="auto"/>
        <w:textAlignment w:val="auto"/>
      </w:pPr>
      <w:r w:rsidRPr="005B57F1">
        <w:rPr>
          <w:b/>
        </w:rPr>
        <w:t>Alt-1 (new signaling):</w:t>
      </w:r>
      <w:r>
        <w:t xml:space="preserve"> DCI for cross-carrier BWP switch from </w:t>
      </w:r>
      <w:proofErr w:type="spellStart"/>
      <w:r>
        <w:t>PCell</w:t>
      </w:r>
      <w:proofErr w:type="spellEnd"/>
      <w:r>
        <w:t xml:space="preserve"> </w:t>
      </w:r>
    </w:p>
    <w:p w14:paraId="36A2F35D" w14:textId="0F1A748F" w:rsidR="00326B32" w:rsidRPr="00AB7C54" w:rsidRDefault="00326B32" w:rsidP="00AB7C54">
      <w:pPr>
        <w:numPr>
          <w:ilvl w:val="2"/>
          <w:numId w:val="49"/>
        </w:numPr>
        <w:spacing w:after="0" w:line="276" w:lineRule="auto"/>
        <w:textAlignment w:val="auto"/>
        <w:rPr>
          <w:b/>
        </w:rPr>
      </w:pPr>
      <w:r w:rsidRPr="005B57F1">
        <w:rPr>
          <w:b/>
        </w:rPr>
        <w:t xml:space="preserve">Alt-2 (new behavior): </w:t>
      </w:r>
      <w:r w:rsidR="00A53E65">
        <w:t xml:space="preserve">Implicit </w:t>
      </w:r>
      <w:proofErr w:type="spellStart"/>
      <w:r w:rsidR="007A6B8A">
        <w:t>SCell</w:t>
      </w:r>
      <w:proofErr w:type="spellEnd"/>
      <w:r w:rsidR="007A6B8A">
        <w:t xml:space="preserve"> </w:t>
      </w:r>
      <w:r w:rsidRPr="00296D24">
        <w:t>BWP switc</w:t>
      </w:r>
      <w:r w:rsidR="00996163">
        <w:t xml:space="preserve">h based on </w:t>
      </w:r>
      <w:proofErr w:type="spellStart"/>
      <w:r w:rsidR="00996163">
        <w:t>PCell</w:t>
      </w:r>
      <w:proofErr w:type="spellEnd"/>
    </w:p>
    <w:p w14:paraId="245EFD85" w14:textId="742D6DA0" w:rsidR="00326B32" w:rsidRDefault="00326B32" w:rsidP="00326B32">
      <w:pPr>
        <w:numPr>
          <w:ilvl w:val="0"/>
          <w:numId w:val="49"/>
        </w:numPr>
        <w:spacing w:before="120" w:line="276" w:lineRule="auto"/>
        <w:textAlignment w:val="auto"/>
      </w:pPr>
      <w:r>
        <w:t xml:space="preserve">The </w:t>
      </w:r>
      <w:r w:rsidR="006A3FC1">
        <w:t xml:space="preserve">latency to return to </w:t>
      </w:r>
      <w:proofErr w:type="spellStart"/>
      <w:r>
        <w:t>SCell</w:t>
      </w:r>
      <w:proofErr w:type="spellEnd"/>
      <w:r>
        <w:t xml:space="preserve"> </w:t>
      </w:r>
      <w:r w:rsidR="006A3FC1">
        <w:t xml:space="preserve">utilization </w:t>
      </w:r>
      <w:r>
        <w:t xml:space="preserve">(i.e. from dormant BWP to active BWP with PDCCH/PDSCH configuration) can be further reduced since the BWP switching delay is shorter compared with </w:t>
      </w:r>
      <w:proofErr w:type="spellStart"/>
      <w:r>
        <w:t>SCell</w:t>
      </w:r>
      <w:proofErr w:type="spellEnd"/>
      <w:r>
        <w:t xml:space="preserve"> state transition, which is only 1</w:t>
      </w:r>
      <w:r w:rsidR="00777C7C">
        <w:t xml:space="preserve"> or </w:t>
      </w:r>
      <w:r>
        <w:t>3ms in 15KHz depending on UE capability (type1 or type2 UE)</w:t>
      </w:r>
      <w:r w:rsidR="001B126B">
        <w:t xml:space="preserve"> in TS 38.133</w:t>
      </w:r>
      <w:r>
        <w:t xml:space="preserve">. </w:t>
      </w:r>
    </w:p>
    <w:p w14:paraId="4064C906" w14:textId="69FBE8D9" w:rsidR="003D3FA3" w:rsidRDefault="003D3FA3" w:rsidP="00AB7C54">
      <w:pPr>
        <w:spacing w:before="120" w:line="276" w:lineRule="auto"/>
        <w:textAlignment w:val="auto"/>
      </w:pPr>
    </w:p>
    <w:p w14:paraId="6E08ABA4" w14:textId="430E256D" w:rsidR="00092C4C" w:rsidRDefault="004F659D" w:rsidP="00AB7C54">
      <w:pPr>
        <w:keepNext/>
        <w:spacing w:before="180"/>
        <w:ind w:left="720"/>
        <w:jc w:val="center"/>
      </w:pPr>
      <w:r>
        <w:object w:dxaOrig="9489" w:dyaOrig="5326" w14:anchorId="79AE8AB5">
          <v:shape id="_x0000_i1027" type="#_x0000_t75" style="width:324.3pt;height:180.3pt" o:ole="">
            <v:imagedata r:id="rId16" o:title=""/>
          </v:shape>
          <o:OLEObject Type="Embed" ProgID="Visio.Drawing.11" ShapeID="_x0000_i1027" DrawAspect="Content" ObjectID="_1627480175" r:id="rId17"/>
        </w:object>
      </w:r>
    </w:p>
    <w:p w14:paraId="6B309CC6" w14:textId="1378242C" w:rsidR="00326B32" w:rsidRDefault="00092C4C" w:rsidP="00092C4C">
      <w:pPr>
        <w:pStyle w:val="Caption"/>
        <w:jc w:val="center"/>
        <w:rPr>
          <w:b w:val="0"/>
        </w:rPr>
      </w:pPr>
      <w:bookmarkStart w:id="13" w:name="_Ref4540379"/>
      <w:r>
        <w:t xml:space="preserve">Figure </w:t>
      </w:r>
      <w:fldSimple w:instr=" SEQ Figure \* ARABIC ">
        <w:r w:rsidR="00FB0BB0">
          <w:rPr>
            <w:noProof/>
          </w:rPr>
          <w:t>3</w:t>
        </w:r>
      </w:fldSimple>
      <w:bookmarkEnd w:id="13"/>
      <w:r>
        <w:t>: I</w:t>
      </w:r>
      <w:r w:rsidRPr="00714172">
        <w:t>llustration of state transition in dormant BWP framework</w:t>
      </w:r>
    </w:p>
    <w:p w14:paraId="0AD9CCD4" w14:textId="680F553F" w:rsidR="00D916B3" w:rsidRPr="00B30F45" w:rsidRDefault="00D916B3" w:rsidP="00D916B3">
      <w:r w:rsidRPr="00B30F45" w:rsidDel="003D3FA3">
        <w:t xml:space="preserve">The actual signaling mechanism to put </w:t>
      </w:r>
      <w:proofErr w:type="spellStart"/>
      <w:r w:rsidRPr="00B30F45" w:rsidDel="003D3FA3">
        <w:t>SCell</w:t>
      </w:r>
      <w:proofErr w:type="spellEnd"/>
      <w:r w:rsidRPr="00B30F45" w:rsidDel="003D3FA3">
        <w:t xml:space="preserve"> in</w:t>
      </w:r>
      <w:r w:rsidR="00843901">
        <w:t>-</w:t>
      </w:r>
      <w:r w:rsidRPr="00B30F45" w:rsidDel="003D3FA3">
        <w:t>and</w:t>
      </w:r>
      <w:r w:rsidR="00843901">
        <w:t>-</w:t>
      </w:r>
      <w:r w:rsidRPr="00B30F45" w:rsidDel="003D3FA3">
        <w:t xml:space="preserve">out of dormant BWP can be done via specialized BWP DCI signaling on the </w:t>
      </w:r>
      <w:proofErr w:type="spellStart"/>
      <w:r w:rsidRPr="00B30F45" w:rsidDel="003D3FA3">
        <w:t>PCell</w:t>
      </w:r>
      <w:proofErr w:type="spellEnd"/>
      <w:r w:rsidR="00211CA8">
        <w:t xml:space="preserve"> (</w:t>
      </w:r>
      <w:r w:rsidR="005C71EB">
        <w:t xml:space="preserve">referred to as </w:t>
      </w:r>
      <w:r w:rsidR="00211CA8">
        <w:t>Alt-1</w:t>
      </w:r>
      <w:r w:rsidR="005C71EB">
        <w:t>, or explicit signaling</w:t>
      </w:r>
      <w:r w:rsidR="00211CA8">
        <w:t>)</w:t>
      </w:r>
      <w:r w:rsidRPr="00B30F45" w:rsidDel="003D3FA3">
        <w:t xml:space="preserve">. </w:t>
      </w:r>
      <w:r w:rsidRPr="00B30F45">
        <w:t xml:space="preserve">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60939FBB" w14:textId="556C8517" w:rsidR="00D916B3" w:rsidRDefault="00D916B3" w:rsidP="00D916B3">
      <w:r>
        <w:t xml:space="preserve">Alternatively, </w:t>
      </w:r>
      <w:r w:rsidR="005053DC">
        <w:t>new behavior (</w:t>
      </w:r>
      <w:r w:rsidR="005C71EB">
        <w:t xml:space="preserve">referred to as </w:t>
      </w:r>
      <w:r w:rsidR="005053DC">
        <w:t>Alt-2</w:t>
      </w:r>
      <w:r w:rsidR="005C71EB">
        <w:t>, or implicit signaling</w:t>
      </w:r>
      <w:r w:rsidR="005053DC">
        <w:t>)</w:t>
      </w:r>
      <w:r w:rsidR="005053DC" w:rsidRPr="00B30F45">
        <w:t xml:space="preserve"> </w:t>
      </w:r>
      <w:r w:rsidR="005053DC">
        <w:t>can be defined</w:t>
      </w:r>
      <w:r w:rsidR="00211CA8">
        <w:t xml:space="preserve"> </w:t>
      </w:r>
      <w:r w:rsidR="005053DC">
        <w:t xml:space="preserve">such that </w:t>
      </w:r>
      <w:r w:rsidRPr="00B30F45">
        <w:t xml:space="preserve">the switching of </w:t>
      </w:r>
      <w:proofErr w:type="spellStart"/>
      <w:r w:rsidRPr="00B30F45">
        <w:t>SCell’s</w:t>
      </w:r>
      <w:proofErr w:type="spellEnd"/>
      <w:r w:rsidRPr="00B30F45">
        <w:t xml:space="preserve"> dormant BWP </w:t>
      </w:r>
      <w:r w:rsidR="005053DC">
        <w:t xml:space="preserve">is based </w:t>
      </w:r>
      <w:r w:rsidRPr="00B30F45">
        <w:t xml:space="preserve">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w:t>
      </w:r>
      <w:r>
        <w:t xml:space="preserve"> (illustrated below)</w:t>
      </w:r>
      <w:r w:rsidRPr="00B30F45">
        <w:t xml:space="preserve">. It is most logical to configure the power saving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A63A40D" w14:textId="77777777" w:rsidR="00D916B3" w:rsidRDefault="00D916B3" w:rsidP="00D916B3">
      <w:pPr>
        <w:jc w:val="center"/>
      </w:pPr>
      <w:r>
        <w:object w:dxaOrig="10352" w:dyaOrig="4225" w14:anchorId="3078F7B4">
          <v:shape id="_x0000_i1028" type="#_x0000_t75" style="width:388.8pt;height:158.4pt;mso-position-horizontal:absolute" o:ole="">
            <v:imagedata r:id="rId18" o:title=""/>
          </v:shape>
          <o:OLEObject Type="Embed" ProgID="Visio.Drawing.11" ShapeID="_x0000_i1028" DrawAspect="Content" ObjectID="_1627480176" r:id="rId19"/>
        </w:object>
      </w:r>
    </w:p>
    <w:p w14:paraId="7B993566" w14:textId="5D966504" w:rsidR="00D916B3" w:rsidRPr="00B30F45" w:rsidRDefault="00355402" w:rsidP="00D916B3">
      <w:r w:rsidRPr="00ED4A64">
        <w:rPr>
          <w:b/>
        </w:rPr>
        <w:t xml:space="preserve">Figure </w:t>
      </w:r>
      <w:r>
        <w:rPr>
          <w:b/>
        </w:rPr>
        <w:t>4</w:t>
      </w:r>
      <w:r w:rsidRPr="00ED4A64">
        <w:rPr>
          <w:b/>
        </w:rPr>
        <w:t xml:space="preserve">: </w:t>
      </w:r>
      <w:r>
        <w:rPr>
          <w:b/>
        </w:rPr>
        <w:t>i</w:t>
      </w:r>
      <w:r w:rsidRPr="00ED4A64">
        <w:rPr>
          <w:b/>
        </w:rPr>
        <w:t xml:space="preserve">llustration of </w:t>
      </w:r>
      <w:r>
        <w:rPr>
          <w:b/>
        </w:rPr>
        <w:t>BWP switch (implicit or explicit cross-carrier signaling) in dormant BWP framework</w:t>
      </w:r>
    </w:p>
    <w:p w14:paraId="52E73C2C" w14:textId="0BFC4DB6" w:rsidR="00DE1795" w:rsidRDefault="00DE1795" w:rsidP="00D916B3"/>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2980"/>
        <w:gridCol w:w="2162"/>
        <w:gridCol w:w="3329"/>
      </w:tblGrid>
      <w:tr w:rsidR="00DE1795" w14:paraId="0420FB44" w14:textId="77777777" w:rsidTr="00C27410">
        <w:trPr>
          <w:trHeight w:val="314"/>
        </w:trPr>
        <w:tc>
          <w:tcPr>
            <w:tcW w:w="1609" w:type="dxa"/>
            <w:tcBorders>
              <w:tl2br w:val="single" w:sz="4" w:space="0" w:color="auto"/>
            </w:tcBorders>
            <w:shd w:val="clear" w:color="auto" w:fill="auto"/>
          </w:tcPr>
          <w:p w14:paraId="4F350730" w14:textId="77777777" w:rsidR="00DE1795" w:rsidRPr="00EE5F3D" w:rsidRDefault="00DE1795" w:rsidP="00C27410">
            <w:pPr>
              <w:spacing w:after="0" w:line="276" w:lineRule="auto"/>
              <w:rPr>
                <w:rFonts w:eastAsia="MS Mincho"/>
                <w:sz w:val="18"/>
              </w:rPr>
            </w:pPr>
            <w:r w:rsidRPr="00EE5F3D">
              <w:rPr>
                <w:rFonts w:eastAsia="MS Mincho"/>
                <w:sz w:val="18"/>
              </w:rPr>
              <w:t xml:space="preserve">          To From        </w:t>
            </w:r>
          </w:p>
        </w:tc>
        <w:tc>
          <w:tcPr>
            <w:tcW w:w="2981" w:type="dxa"/>
            <w:tcBorders>
              <w:bottom w:val="single" w:sz="4" w:space="0" w:color="auto"/>
            </w:tcBorders>
            <w:shd w:val="clear" w:color="auto" w:fill="auto"/>
          </w:tcPr>
          <w:p w14:paraId="40618D83"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160" w:type="dxa"/>
            <w:shd w:val="clear" w:color="auto" w:fill="auto"/>
          </w:tcPr>
          <w:p w14:paraId="797EA298"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3330" w:type="dxa"/>
            <w:shd w:val="clear" w:color="auto" w:fill="auto"/>
          </w:tcPr>
          <w:p w14:paraId="0A30906A" w14:textId="77777777" w:rsidR="00DE1795" w:rsidRPr="00EE5F3D" w:rsidRDefault="00DE1795" w:rsidP="00C27410">
            <w:pPr>
              <w:spacing w:after="0" w:line="276" w:lineRule="auto"/>
              <w:jc w:val="center"/>
              <w:rPr>
                <w:rFonts w:eastAsia="MS Mincho"/>
                <w:sz w:val="18"/>
              </w:rPr>
            </w:pPr>
            <w:r w:rsidRPr="00EE5F3D">
              <w:rPr>
                <w:rFonts w:eastAsia="MS Mincho"/>
                <w:sz w:val="18"/>
              </w:rPr>
              <w:t>Dormancy (dormant BWP)</w:t>
            </w:r>
          </w:p>
        </w:tc>
      </w:tr>
      <w:tr w:rsidR="00DE1795" w14:paraId="3EF85039" w14:textId="77777777" w:rsidTr="00C27410">
        <w:tc>
          <w:tcPr>
            <w:tcW w:w="1609" w:type="dxa"/>
            <w:shd w:val="clear" w:color="auto" w:fill="auto"/>
          </w:tcPr>
          <w:p w14:paraId="0054217F"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981" w:type="dxa"/>
            <w:tcBorders>
              <w:tl2br w:val="single" w:sz="4" w:space="0" w:color="auto"/>
            </w:tcBorders>
            <w:shd w:val="clear" w:color="auto" w:fill="auto"/>
          </w:tcPr>
          <w:p w14:paraId="3695A4AF" w14:textId="77777777" w:rsidR="00DE1795" w:rsidRPr="00EE5F3D" w:rsidRDefault="00DE1795" w:rsidP="00C27410">
            <w:pPr>
              <w:spacing w:after="0" w:line="276" w:lineRule="auto"/>
              <w:rPr>
                <w:rFonts w:eastAsia="MS Mincho"/>
                <w:sz w:val="18"/>
              </w:rPr>
            </w:pPr>
          </w:p>
        </w:tc>
        <w:tc>
          <w:tcPr>
            <w:tcW w:w="2160" w:type="dxa"/>
            <w:tcBorders>
              <w:bottom w:val="single" w:sz="4" w:space="0" w:color="auto"/>
            </w:tcBorders>
            <w:shd w:val="clear" w:color="auto" w:fill="auto"/>
          </w:tcPr>
          <w:p w14:paraId="25DB931C" w14:textId="48165CAC"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73A7709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79980FE6"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sCellDeactivationTimer</w:t>
            </w:r>
            <w:proofErr w:type="spellEnd"/>
          </w:p>
        </w:tc>
        <w:tc>
          <w:tcPr>
            <w:tcW w:w="3330" w:type="dxa"/>
            <w:shd w:val="clear" w:color="auto" w:fill="auto"/>
          </w:tcPr>
          <w:p w14:paraId="59A6D4E0" w14:textId="7341BEFC" w:rsidR="00DE1795" w:rsidRPr="00EE5F3D" w:rsidRDefault="00DE1795" w:rsidP="00C27410">
            <w:pPr>
              <w:spacing w:after="0" w:line="276" w:lineRule="auto"/>
              <w:rPr>
                <w:rFonts w:eastAsia="MS Mincho"/>
                <w:sz w:val="18"/>
              </w:rPr>
            </w:pPr>
            <w:r w:rsidRPr="00EE5F3D">
              <w:rPr>
                <w:rFonts w:eastAsia="MS Mincho"/>
                <w:sz w:val="18"/>
              </w:rPr>
              <w:t xml:space="preserve">No new signaling </w:t>
            </w:r>
            <w:r>
              <w:rPr>
                <w:rFonts w:eastAsia="MS Mincho"/>
                <w:sz w:val="18"/>
              </w:rPr>
              <w:t xml:space="preserve">or behavior </w:t>
            </w:r>
            <w:r w:rsidRPr="00EE5F3D">
              <w:rPr>
                <w:rFonts w:eastAsia="MS Mincho"/>
                <w:sz w:val="18"/>
              </w:rPr>
              <w:t xml:space="preserve">required: </w:t>
            </w:r>
          </w:p>
          <w:p w14:paraId="70418BF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DCI to switch to dormant BWP, or</w:t>
            </w:r>
          </w:p>
          <w:p w14:paraId="1DA430FE"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bwp-InactivityTimer</w:t>
            </w:r>
            <w:proofErr w:type="spellEnd"/>
            <w:r w:rsidRPr="00EE5F3D">
              <w:rPr>
                <w:rFonts w:eastAsia="MS Mincho"/>
                <w:i/>
                <w:sz w:val="18"/>
              </w:rPr>
              <w:t xml:space="preserve"> </w:t>
            </w:r>
            <w:r w:rsidRPr="00EE5F3D">
              <w:rPr>
                <w:rFonts w:eastAsia="MS Mincho"/>
                <w:sz w:val="18"/>
              </w:rPr>
              <w:t>(need to configurate dormant BWP as default BWP)</w:t>
            </w:r>
          </w:p>
        </w:tc>
      </w:tr>
      <w:tr w:rsidR="00DE1795" w14:paraId="5B726B59" w14:textId="77777777" w:rsidTr="00C27410">
        <w:tc>
          <w:tcPr>
            <w:tcW w:w="1609" w:type="dxa"/>
            <w:shd w:val="clear" w:color="auto" w:fill="auto"/>
          </w:tcPr>
          <w:p w14:paraId="572A6D47"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2981" w:type="dxa"/>
            <w:shd w:val="clear" w:color="auto" w:fill="auto"/>
          </w:tcPr>
          <w:p w14:paraId="11AF1D14" w14:textId="3C48C807" w:rsidR="00DE1795" w:rsidRDefault="00DE1795" w:rsidP="00C27410">
            <w:pPr>
              <w:spacing w:after="0" w:line="276" w:lineRule="auto"/>
              <w:rPr>
                <w:rFonts w:eastAsia="MS Mincho"/>
                <w:sz w:val="18"/>
              </w:rPr>
            </w:pPr>
            <w:r w:rsidRPr="00EE5F3D">
              <w:rPr>
                <w:rFonts w:eastAsia="MS Mincho"/>
                <w:sz w:val="18"/>
              </w:rPr>
              <w:t xml:space="preserve">Legacy signaling: </w:t>
            </w:r>
          </w:p>
          <w:p w14:paraId="05FB4B68" w14:textId="77777777" w:rsidR="00DE1795" w:rsidRPr="009E1F65" w:rsidRDefault="00DE1795" w:rsidP="00C27410">
            <w:pPr>
              <w:numPr>
                <w:ilvl w:val="0"/>
                <w:numId w:val="50"/>
              </w:numPr>
              <w:spacing w:after="0" w:line="276" w:lineRule="auto"/>
              <w:textAlignment w:val="auto"/>
              <w:rPr>
                <w:rFonts w:eastAsia="MS Mincho"/>
                <w:sz w:val="18"/>
              </w:rPr>
            </w:pPr>
            <w:r w:rsidRPr="00EE5F3D">
              <w:rPr>
                <w:rFonts w:eastAsia="MS Mincho"/>
                <w:sz w:val="18"/>
              </w:rPr>
              <w:t>MAC-CE</w:t>
            </w:r>
            <w:r>
              <w:rPr>
                <w:rFonts w:eastAsia="MS Mincho"/>
                <w:sz w:val="18"/>
              </w:rPr>
              <w:t xml:space="preserve"> for activation</w:t>
            </w:r>
          </w:p>
        </w:tc>
        <w:tc>
          <w:tcPr>
            <w:tcW w:w="2160" w:type="dxa"/>
            <w:tcBorders>
              <w:tl2br w:val="single" w:sz="4" w:space="0" w:color="auto"/>
            </w:tcBorders>
            <w:shd w:val="clear" w:color="auto" w:fill="auto"/>
          </w:tcPr>
          <w:p w14:paraId="14887EAB" w14:textId="77777777" w:rsidR="00DE1795" w:rsidRPr="00EE5F3D" w:rsidRDefault="00DE1795" w:rsidP="00C27410">
            <w:pPr>
              <w:spacing w:after="0" w:line="276" w:lineRule="auto"/>
              <w:rPr>
                <w:rFonts w:eastAsia="MS Mincho"/>
                <w:sz w:val="18"/>
              </w:rPr>
            </w:pPr>
          </w:p>
        </w:tc>
        <w:tc>
          <w:tcPr>
            <w:tcW w:w="3330" w:type="dxa"/>
            <w:tcBorders>
              <w:bottom w:val="single" w:sz="4" w:space="0" w:color="auto"/>
            </w:tcBorders>
            <w:shd w:val="clear" w:color="auto" w:fill="auto"/>
          </w:tcPr>
          <w:p w14:paraId="53702E34" w14:textId="74BD7871" w:rsidR="00DE1795" w:rsidRPr="009040C6" w:rsidRDefault="00DE1795" w:rsidP="00C27410">
            <w:pPr>
              <w:spacing w:after="0" w:line="276" w:lineRule="auto"/>
              <w:rPr>
                <w:rFonts w:eastAsia="MS Mincho"/>
                <w:sz w:val="18"/>
              </w:rPr>
            </w:pPr>
            <w:r w:rsidRPr="009040C6">
              <w:rPr>
                <w:rFonts w:eastAsia="MS Mincho"/>
                <w:sz w:val="18"/>
              </w:rPr>
              <w:t>No direct transitio</w:t>
            </w:r>
            <w:r>
              <w:rPr>
                <w:rFonts w:eastAsia="MS Mincho"/>
                <w:sz w:val="18"/>
              </w:rPr>
              <w:t>n (n</w:t>
            </w:r>
            <w:r w:rsidRPr="00EE5F3D">
              <w:rPr>
                <w:rFonts w:eastAsia="MS Mincho"/>
                <w:sz w:val="18"/>
              </w:rPr>
              <w:t>o new signaling</w:t>
            </w:r>
            <w:r>
              <w:rPr>
                <w:rFonts w:eastAsia="MS Mincho"/>
                <w:sz w:val="18"/>
              </w:rPr>
              <w:t xml:space="preserve"> or behavior)</w:t>
            </w:r>
            <w:r w:rsidRPr="009040C6">
              <w:rPr>
                <w:rFonts w:eastAsia="MS Mincho"/>
                <w:sz w:val="18"/>
              </w:rPr>
              <w:t xml:space="preserve">: </w:t>
            </w:r>
          </w:p>
          <w:p w14:paraId="11A950B1" w14:textId="77777777" w:rsidR="00DE1795" w:rsidRPr="009040C6" w:rsidRDefault="00DE1795" w:rsidP="00C27410">
            <w:pPr>
              <w:numPr>
                <w:ilvl w:val="0"/>
                <w:numId w:val="50"/>
              </w:numPr>
              <w:spacing w:after="0" w:line="276" w:lineRule="auto"/>
              <w:textAlignment w:val="auto"/>
              <w:rPr>
                <w:rFonts w:eastAsia="MS Mincho"/>
                <w:sz w:val="18"/>
              </w:rPr>
            </w:pPr>
            <w:r w:rsidRPr="009040C6">
              <w:rPr>
                <w:rFonts w:eastAsia="MS Mincho"/>
                <w:sz w:val="18"/>
              </w:rPr>
              <w:t xml:space="preserve">NW first uses MAC-CE to activate </w:t>
            </w:r>
            <w:proofErr w:type="spellStart"/>
            <w:r w:rsidRPr="009040C6">
              <w:rPr>
                <w:rFonts w:eastAsia="MS Mincho"/>
                <w:sz w:val="18"/>
              </w:rPr>
              <w:t>SCell</w:t>
            </w:r>
            <w:proofErr w:type="spellEnd"/>
            <w:r w:rsidRPr="009040C6">
              <w:rPr>
                <w:rFonts w:eastAsia="MS Mincho"/>
                <w:sz w:val="18"/>
              </w:rPr>
              <w:t xml:space="preserve">, and then uses DCI to switch UE to dormant BWP </w:t>
            </w:r>
          </w:p>
          <w:p w14:paraId="27895AF0" w14:textId="77777777" w:rsidR="00DE1795" w:rsidRPr="00EE5F3D" w:rsidRDefault="00DE1795" w:rsidP="00C27410">
            <w:pPr>
              <w:spacing w:after="0" w:line="276" w:lineRule="auto"/>
              <w:ind w:left="360"/>
              <w:rPr>
                <w:rFonts w:eastAsia="MS Mincho"/>
                <w:sz w:val="18"/>
              </w:rPr>
            </w:pPr>
          </w:p>
        </w:tc>
      </w:tr>
      <w:tr w:rsidR="00DE1795" w14:paraId="051110DE" w14:textId="77777777" w:rsidTr="00C27410">
        <w:tc>
          <w:tcPr>
            <w:tcW w:w="1609" w:type="dxa"/>
            <w:shd w:val="clear" w:color="auto" w:fill="auto"/>
          </w:tcPr>
          <w:p w14:paraId="4F8D1E15" w14:textId="77777777" w:rsidR="00DE1795" w:rsidRPr="00EE5F3D" w:rsidRDefault="00DE1795" w:rsidP="00C27410">
            <w:pPr>
              <w:spacing w:after="0" w:line="276" w:lineRule="auto"/>
              <w:jc w:val="center"/>
              <w:rPr>
                <w:rFonts w:eastAsia="MS Mincho"/>
                <w:sz w:val="18"/>
              </w:rPr>
            </w:pPr>
            <w:r w:rsidRPr="00EE5F3D">
              <w:rPr>
                <w:rFonts w:eastAsia="MS Mincho"/>
                <w:sz w:val="18"/>
              </w:rPr>
              <w:lastRenderedPageBreak/>
              <w:t>Dormancy (dormant BWP)</w:t>
            </w:r>
          </w:p>
        </w:tc>
        <w:tc>
          <w:tcPr>
            <w:tcW w:w="2981" w:type="dxa"/>
            <w:shd w:val="clear" w:color="auto" w:fill="auto"/>
          </w:tcPr>
          <w:p w14:paraId="73C7E2EB" w14:textId="2079EAF7" w:rsidR="00DE1795" w:rsidRPr="00592C07" w:rsidRDefault="00DE1795" w:rsidP="00C27410">
            <w:pPr>
              <w:spacing w:after="0" w:line="276" w:lineRule="auto"/>
              <w:rPr>
                <w:rFonts w:eastAsia="MS Mincho"/>
                <w:sz w:val="18"/>
              </w:rPr>
            </w:pPr>
            <w:r w:rsidRPr="00592C07">
              <w:rPr>
                <w:rFonts w:eastAsia="MS Mincho"/>
                <w:sz w:val="18"/>
              </w:rPr>
              <w:t xml:space="preserve">New signaling </w:t>
            </w:r>
            <w:r>
              <w:rPr>
                <w:rFonts w:eastAsia="MS Mincho"/>
                <w:sz w:val="18"/>
              </w:rPr>
              <w:t xml:space="preserve">or behavior </w:t>
            </w:r>
            <w:r w:rsidRPr="00592C07">
              <w:rPr>
                <w:rFonts w:eastAsia="MS Mincho"/>
                <w:sz w:val="18"/>
              </w:rPr>
              <w:t>required</w:t>
            </w:r>
            <w:r>
              <w:rPr>
                <w:rFonts w:eastAsia="MS Mincho"/>
                <w:sz w:val="18"/>
              </w:rPr>
              <w:t xml:space="preserve">: </w:t>
            </w:r>
            <w:r w:rsidRPr="00592C07">
              <w:rPr>
                <w:rFonts w:eastAsia="MS Mincho"/>
                <w:sz w:val="18"/>
              </w:rPr>
              <w:t xml:space="preserve">  </w:t>
            </w:r>
          </w:p>
          <w:p w14:paraId="565942A9" w14:textId="77777777" w:rsidR="00DE1795" w:rsidRPr="00592C07" w:rsidRDefault="00DE1795" w:rsidP="00C27410">
            <w:pPr>
              <w:numPr>
                <w:ilvl w:val="0"/>
                <w:numId w:val="50"/>
              </w:numPr>
              <w:spacing w:after="0" w:line="276" w:lineRule="auto"/>
              <w:textAlignment w:val="auto"/>
              <w:rPr>
                <w:rFonts w:eastAsia="MS Mincho"/>
                <w:sz w:val="18"/>
              </w:rPr>
            </w:pPr>
            <w:r>
              <w:rPr>
                <w:rFonts w:eastAsia="MS Mincho"/>
                <w:sz w:val="18"/>
              </w:rPr>
              <w:t xml:space="preserve">Alt-1: new </w:t>
            </w:r>
            <w:r w:rsidRPr="00592C07">
              <w:rPr>
                <w:rFonts w:eastAsia="MS Mincho"/>
                <w:sz w:val="18"/>
              </w:rPr>
              <w:t xml:space="preserve">DCI </w:t>
            </w:r>
            <w:proofErr w:type="spellStart"/>
            <w:r>
              <w:rPr>
                <w:rFonts w:eastAsia="MS Mincho"/>
                <w:sz w:val="18"/>
              </w:rPr>
              <w:t>signalling</w:t>
            </w:r>
            <w:proofErr w:type="spellEnd"/>
            <w:r>
              <w:rPr>
                <w:rFonts w:eastAsia="MS Mincho"/>
                <w:sz w:val="18"/>
              </w:rPr>
              <w:t xml:space="preserve"> </w:t>
            </w:r>
            <w:r w:rsidRPr="00592C07">
              <w:rPr>
                <w:rFonts w:eastAsia="MS Mincho"/>
                <w:sz w:val="18"/>
              </w:rPr>
              <w:t>for cross-carrier BWP switch</w:t>
            </w:r>
          </w:p>
          <w:p w14:paraId="395F3FD0" w14:textId="77777777" w:rsidR="00DE1795" w:rsidRPr="00EF4FA8" w:rsidRDefault="00DE1795" w:rsidP="00C27410">
            <w:pPr>
              <w:numPr>
                <w:ilvl w:val="0"/>
                <w:numId w:val="50"/>
              </w:numPr>
              <w:spacing w:after="0" w:line="276" w:lineRule="auto"/>
              <w:textAlignment w:val="auto"/>
              <w:rPr>
                <w:rFonts w:eastAsia="MS Mincho"/>
                <w:sz w:val="18"/>
              </w:rPr>
            </w:pPr>
            <w:r>
              <w:rPr>
                <w:rFonts w:eastAsia="MS Mincho"/>
                <w:sz w:val="18"/>
              </w:rPr>
              <w:t xml:space="preserve">Alt-2: </w:t>
            </w:r>
            <w:r w:rsidRPr="00592C07">
              <w:rPr>
                <w:rFonts w:eastAsia="MS Mincho"/>
                <w:sz w:val="18"/>
              </w:rPr>
              <w:t>implicit BWP switch</w:t>
            </w:r>
          </w:p>
        </w:tc>
        <w:tc>
          <w:tcPr>
            <w:tcW w:w="2160" w:type="dxa"/>
            <w:shd w:val="clear" w:color="auto" w:fill="auto"/>
          </w:tcPr>
          <w:p w14:paraId="161FD00D" w14:textId="5E9BF7AF"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5D7D531F"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2BEAA248" w14:textId="77777777" w:rsidR="00DE1795" w:rsidRPr="00EE5F3D" w:rsidRDefault="00DE1795" w:rsidP="00C27410">
            <w:pPr>
              <w:numPr>
                <w:ilvl w:val="0"/>
                <w:numId w:val="50"/>
              </w:numPr>
              <w:spacing w:after="0" w:line="276" w:lineRule="auto"/>
              <w:textAlignment w:val="auto"/>
              <w:rPr>
                <w:rFonts w:eastAsia="MS Mincho"/>
                <w:sz w:val="18"/>
              </w:rPr>
            </w:pPr>
            <w:proofErr w:type="spellStart"/>
            <w:r w:rsidRPr="00EE5F3D">
              <w:rPr>
                <w:rFonts w:eastAsia="MS Mincho"/>
                <w:i/>
                <w:sz w:val="18"/>
              </w:rPr>
              <w:t>sCellDeactivationTimer</w:t>
            </w:r>
            <w:proofErr w:type="spellEnd"/>
          </w:p>
        </w:tc>
        <w:tc>
          <w:tcPr>
            <w:tcW w:w="3330" w:type="dxa"/>
            <w:tcBorders>
              <w:tl2br w:val="single" w:sz="4" w:space="0" w:color="auto"/>
            </w:tcBorders>
            <w:shd w:val="clear" w:color="auto" w:fill="auto"/>
          </w:tcPr>
          <w:p w14:paraId="63606BB6" w14:textId="77777777" w:rsidR="00DE1795" w:rsidRPr="00EE5F3D" w:rsidRDefault="00DE1795" w:rsidP="00C27410">
            <w:pPr>
              <w:spacing w:after="0" w:line="276" w:lineRule="auto"/>
              <w:rPr>
                <w:rFonts w:eastAsia="MS Mincho"/>
                <w:sz w:val="18"/>
              </w:rPr>
            </w:pPr>
          </w:p>
        </w:tc>
      </w:tr>
    </w:tbl>
    <w:p w14:paraId="7AC0CFC3" w14:textId="78E601D4" w:rsidR="00DE1795" w:rsidRDefault="00DE1795" w:rsidP="00DE1795">
      <w:pPr>
        <w:pStyle w:val="Caption"/>
        <w:jc w:val="center"/>
        <w:rPr>
          <w:b w:val="0"/>
        </w:rPr>
      </w:pPr>
      <w:bookmarkStart w:id="14" w:name="_Ref4712420"/>
      <w:r>
        <w:t xml:space="preserve">Table </w:t>
      </w:r>
      <w:fldSimple w:instr=" SEQ Table \* ARABIC ">
        <w:r w:rsidR="00FB0BB0">
          <w:rPr>
            <w:noProof/>
          </w:rPr>
          <w:t>1</w:t>
        </w:r>
      </w:fldSimple>
      <w:bookmarkEnd w:id="14"/>
      <w:r>
        <w:t xml:space="preserve">: </w:t>
      </w:r>
      <w:r>
        <w:rPr>
          <w:b w:val="0"/>
        </w:rPr>
        <w:t>State transitions in dormant BWP framework</w:t>
      </w:r>
    </w:p>
    <w:p w14:paraId="693DFDE8" w14:textId="77777777" w:rsidR="00DE1795" w:rsidRDefault="00DE1795" w:rsidP="00D916B3"/>
    <w:p w14:paraId="3FA2907A" w14:textId="6B05A712" w:rsidR="00D916B3" w:rsidRDefault="00D916B3" w:rsidP="00D916B3">
      <w:r>
        <w:t>Being</w:t>
      </w:r>
      <w:r w:rsidRPr="001959D9">
        <w:t xml:space="preserve"> able to bring </w:t>
      </w:r>
      <w:proofErr w:type="spellStart"/>
      <w:r w:rsidRPr="001959D9">
        <w:t>SCell</w:t>
      </w:r>
      <w:proofErr w:type="spellEnd"/>
      <w:r w:rsidRPr="001959D9">
        <w:t xml:space="preserve">(s) in and out of dormancy </w:t>
      </w:r>
      <w:r>
        <w:t xml:space="preserve">relatively quickly </w:t>
      </w:r>
      <w:r w:rsidRPr="00B529D8">
        <w:t>i</w:t>
      </w:r>
      <w:r w:rsidRPr="00CC50CB">
        <w:t xml:space="preserve">s </w:t>
      </w:r>
      <w:r>
        <w:t xml:space="preserve">beneficial </w:t>
      </w:r>
      <w:r w:rsidRPr="00CC50CB">
        <w:t>for power saving.</w:t>
      </w:r>
      <w:r>
        <w:t xml:space="preserve"> Leveraging the BWP framework allows reusing many of the mechanisms (e.g. DCI signaling, BWP inactivity timer, </w:t>
      </w:r>
      <w:proofErr w:type="spellStart"/>
      <w:r>
        <w:t>etc</w:t>
      </w:r>
      <w:proofErr w:type="spellEnd"/>
      <w:r>
        <w:t>), resulting in less specification work and impact.</w:t>
      </w:r>
    </w:p>
    <w:p w14:paraId="5A8D6D10" w14:textId="23C330F7" w:rsidR="00D916B3" w:rsidRDefault="00706C3E" w:rsidP="00D916B3">
      <w:r>
        <w:t xml:space="preserve">It should be emphasized that quick adaptation of PDCCH monitoring is only one aspect for </w:t>
      </w:r>
      <w:proofErr w:type="spellStart"/>
      <w:r>
        <w:t>SCell</w:t>
      </w:r>
      <w:proofErr w:type="spellEnd"/>
      <w:r>
        <w:t xml:space="preserve"> power saving and enabling fast </w:t>
      </w:r>
      <w:r w:rsidR="006C2969" w:rsidRPr="006C2969">
        <w:t xml:space="preserve">return to </w:t>
      </w:r>
      <w:proofErr w:type="spellStart"/>
      <w:r w:rsidR="006C2969" w:rsidRPr="006C2969">
        <w:t>SCell</w:t>
      </w:r>
      <w:proofErr w:type="spellEnd"/>
      <w:r w:rsidR="006C2969" w:rsidRPr="006C2969">
        <w:t xml:space="preserve"> utilization </w:t>
      </w:r>
      <w:r>
        <w:t>(i.e. switch from dormant BWP to active BWP with PDCCH/PDSCH configuration). Other aspects include periodic operations, e.g. CSI, beam management, also can be relaxed by separate duty cycle in dormant BWP to achieve good tradeoff between power consumption and latency</w:t>
      </w:r>
      <w:r w:rsidR="007C5D89">
        <w:t xml:space="preserve"> to </w:t>
      </w:r>
      <w:r w:rsidR="007C5D89" w:rsidRPr="007C5D89">
        <w:t xml:space="preserve">return to </w:t>
      </w:r>
      <w:proofErr w:type="spellStart"/>
      <w:r w:rsidR="007C5D89" w:rsidRPr="007C5D89">
        <w:t>SCell</w:t>
      </w:r>
      <w:proofErr w:type="spellEnd"/>
      <w:r w:rsidR="007C5D89" w:rsidRPr="007C5D89">
        <w:t xml:space="preserve"> utilization</w:t>
      </w:r>
      <w:r>
        <w:t xml:space="preserve">. Therefore, we think that BWP adaptation is a suitable framework to support the switching between </w:t>
      </w:r>
      <w:r w:rsidR="00480745">
        <w:t>“</w:t>
      </w:r>
      <w:r>
        <w:t>dormancy</w:t>
      </w:r>
      <w:r w:rsidR="00480745">
        <w:t>”</w:t>
      </w:r>
      <w:r>
        <w:t xml:space="preserve"> (i.e. low power) and fully active operations, compared to adapting different aspects with separate mechanisms</w:t>
      </w:r>
      <w:r w:rsidR="00E679FD">
        <w:t>.</w:t>
      </w:r>
    </w:p>
    <w:p w14:paraId="7E9DE95B" w14:textId="4FDF466B" w:rsidR="00D916B3" w:rsidRPr="00B30F45" w:rsidRDefault="002100BB" w:rsidP="002100BB">
      <w:pPr>
        <w:pStyle w:val="Caption"/>
      </w:pPr>
      <w:bookmarkStart w:id="15" w:name="_Toc16865496"/>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FB0BB0">
        <w:rPr>
          <w:noProof/>
        </w:rPr>
        <w:t>4</w:t>
      </w:r>
      <w:r w:rsidR="00B3148D">
        <w:rPr>
          <w:noProof/>
        </w:rPr>
        <w:fldChar w:fldCharType="end"/>
      </w:r>
      <w:r>
        <w:t xml:space="preserve">: </w:t>
      </w:r>
      <w:r w:rsidR="00AF0290" w:rsidRPr="00AF0290">
        <w:t xml:space="preserve">In NR, </w:t>
      </w:r>
      <w:r w:rsidR="00167738">
        <w:t>“</w:t>
      </w:r>
      <w:r w:rsidR="00AF0290" w:rsidRPr="00AF0290">
        <w:t>dormancy</w:t>
      </w:r>
      <w:r w:rsidR="00167738">
        <w:t>”</w:t>
      </w:r>
      <w:r w:rsidR="00AF0290" w:rsidRPr="00AF0290">
        <w:t xml:space="preserve"> behavior </w:t>
      </w:r>
      <w:r w:rsidR="00167738">
        <w:t xml:space="preserve">for a </w:t>
      </w:r>
      <w:proofErr w:type="spellStart"/>
      <w:r w:rsidR="00167738">
        <w:t>SCell</w:t>
      </w:r>
      <w:proofErr w:type="spellEnd"/>
      <w:r w:rsidR="00167738">
        <w:t xml:space="preserve"> </w:t>
      </w:r>
      <w:r w:rsidR="00AF0290" w:rsidRPr="00AF0290">
        <w:t>can be supported by configuring a particular BWP without PDCCH/PDSCH</w:t>
      </w:r>
      <w:r w:rsidR="00CC66AF">
        <w:t xml:space="preserve"> monitoring as the</w:t>
      </w:r>
      <w:r w:rsidR="00173D69">
        <w:t xml:space="preserve"> </w:t>
      </w:r>
      <w:r w:rsidR="00AF0290" w:rsidRPr="00AF0290">
        <w:t>dormant BWP</w:t>
      </w:r>
      <w:r w:rsidR="00167738">
        <w:t xml:space="preserve"> for the </w:t>
      </w:r>
      <w:proofErr w:type="spellStart"/>
      <w:r w:rsidR="00167738">
        <w:t>SCell</w:t>
      </w:r>
      <w:proofErr w:type="spellEnd"/>
      <w:r w:rsidR="00167738">
        <w:t>.</w:t>
      </w:r>
      <w:bookmarkEnd w:id="15"/>
    </w:p>
    <w:p w14:paraId="5A725554" w14:textId="18BE4C96" w:rsidR="00E679FD" w:rsidRDefault="008A23BF" w:rsidP="008A23BF">
      <w:pPr>
        <w:pStyle w:val="Caption"/>
      </w:pPr>
      <w:bookmarkStart w:id="16" w:name="_Toc16865497"/>
      <w:r>
        <w:t xml:space="preserve">Proposal </w:t>
      </w:r>
      <w:fldSimple w:instr=" SEQ Proposal \* ARABIC ">
        <w:r w:rsidR="00FB0BB0">
          <w:rPr>
            <w:noProof/>
          </w:rPr>
          <w:t>5</w:t>
        </w:r>
      </w:fldSimple>
      <w:r>
        <w:t xml:space="preserve">: RAN1 </w:t>
      </w:r>
      <w:r w:rsidR="00855878">
        <w:t xml:space="preserve">supports dormant BWP and </w:t>
      </w:r>
      <w:r>
        <w:t xml:space="preserve">specifies the required </w:t>
      </w:r>
      <w:r w:rsidR="004636FB">
        <w:t xml:space="preserve">new </w:t>
      </w:r>
      <w:r w:rsidR="008C1690">
        <w:t>DCI</w:t>
      </w:r>
      <w:r w:rsidR="004063D4">
        <w:t xml:space="preserve"> signaling and/or BWP switching behavior for dormant BWP on </w:t>
      </w:r>
      <w:proofErr w:type="spellStart"/>
      <w:r w:rsidR="004063D4">
        <w:t>SCell</w:t>
      </w:r>
      <w:proofErr w:type="spellEnd"/>
      <w:r w:rsidR="004063D4">
        <w:t xml:space="preserve"> </w:t>
      </w:r>
      <w:r w:rsidR="00855878">
        <w:t xml:space="preserve">in </w:t>
      </w:r>
      <w:r w:rsidR="008E0D9E">
        <w:t>associat</w:t>
      </w:r>
      <w:r w:rsidR="00855878">
        <w:t>ion with</w:t>
      </w:r>
      <w:r w:rsidR="008E0D9E">
        <w:t xml:space="preserve"> the </w:t>
      </w:r>
      <w:proofErr w:type="spellStart"/>
      <w:r w:rsidR="008E0D9E">
        <w:t>PCell</w:t>
      </w:r>
      <w:proofErr w:type="spellEnd"/>
      <w:r w:rsidR="008E0D9E">
        <w:t>.</w:t>
      </w:r>
      <w:bookmarkEnd w:id="16"/>
    </w:p>
    <w:p w14:paraId="31C75A2B" w14:textId="77777777" w:rsidR="00855878" w:rsidRPr="00855878" w:rsidRDefault="00855878" w:rsidP="00AB7C54"/>
    <w:p w14:paraId="0D2439C6" w14:textId="05C7BB8A" w:rsidR="00C706E7" w:rsidRDefault="00C706E7" w:rsidP="00C706E7">
      <w:pPr>
        <w:spacing w:after="240"/>
      </w:pPr>
      <w:r>
        <w:t>There are other proposals for reducing PDCCH monitoring duty cycle, for example, by configuring very large PDCCH monitoring periodicity. In Rel-15, PDCCH monitoring periodicity configuration is BWP-specific; Therefore, adaptation between large and small PDCCH monitoring periodicities can be achieved by BWP adaptation as well. UE power saving study for Rel-16 [TR 38.304] has looked into adaptation of PDCCH monitoring periodicity independent of BWP adaptation, but support in Rel-16 is still to be further studied by RAN2. In our view, reusing the Rel-15 BWP adaptation framework is more desirable as it can also support other aspects of adaptation.</w:t>
      </w:r>
    </w:p>
    <w:p w14:paraId="3FA630B0" w14:textId="123A2C9B" w:rsidR="00D916B3" w:rsidRDefault="00C706E7" w:rsidP="00C706E7">
      <w:r>
        <w:t xml:space="preserve">Another point to note is that even with large PDCCH monitoring periodicity configured for dormant BWP (instead of no PDCCH monitoring), it is still necessary to have a mechanism on the </w:t>
      </w:r>
      <w:proofErr w:type="spellStart"/>
      <w:r>
        <w:t>PCell</w:t>
      </w:r>
      <w:proofErr w:type="spellEnd"/>
      <w:r>
        <w:t xml:space="preserve"> to trigger transition from dormant BWP to active BWP with PDCCH/PDSCH configuration for the </w:t>
      </w:r>
      <w:proofErr w:type="spellStart"/>
      <w:r>
        <w:t>SCell</w:t>
      </w:r>
      <w:proofErr w:type="spellEnd"/>
      <w:r>
        <w:t xml:space="preserve">. This is because with very large PDCCH monitoring periodicity, and with C-DRX operation, it is possible that the PDCCH occasion may rarely align with the ON duration of C-DRX, and there can be huge delay for an opportunity to signal on the </w:t>
      </w:r>
      <w:proofErr w:type="spellStart"/>
      <w:r>
        <w:t>SCell</w:t>
      </w:r>
      <w:proofErr w:type="spellEnd"/>
      <w:r>
        <w:t xml:space="preserve"> </w:t>
      </w:r>
      <w:r w:rsidR="00A30178">
        <w:t xml:space="preserve">for </w:t>
      </w:r>
      <w:r w:rsidR="00B53FA5" w:rsidRPr="00B53FA5">
        <w:t xml:space="preserve">return to </w:t>
      </w:r>
      <w:proofErr w:type="spellStart"/>
      <w:r w:rsidR="00B53FA5" w:rsidRPr="00B53FA5">
        <w:t>SCell</w:t>
      </w:r>
      <w:proofErr w:type="spellEnd"/>
      <w:r w:rsidR="00B53FA5" w:rsidRPr="00B53FA5">
        <w:t xml:space="preserve"> utilization</w:t>
      </w:r>
      <w:r w:rsidR="00B53FA5" w:rsidRPr="00B53FA5" w:rsidDel="00B53FA5">
        <w:t xml:space="preserve"> </w:t>
      </w:r>
      <w:r w:rsidR="00A30178">
        <w:t>(i.e. switch from dormant BWP to active BWP with PDCCH/PDSCH configuration)</w:t>
      </w:r>
      <w:r>
        <w:t>.</w:t>
      </w:r>
    </w:p>
    <w:p w14:paraId="6145D51E" w14:textId="77777777" w:rsidR="002B1397" w:rsidRDefault="002B1397" w:rsidP="00D916B3"/>
    <w:p w14:paraId="65A6ABF3" w14:textId="77777777" w:rsidR="00D916B3" w:rsidRPr="00313428" w:rsidRDefault="00D916B3" w:rsidP="00D916B3">
      <w:pPr>
        <w:pStyle w:val="Heading3"/>
      </w:pPr>
      <w:bookmarkStart w:id="17" w:name="_Ref528948684"/>
      <w:r w:rsidRPr="00313428">
        <w:t>Semi-persistent search space configuration</w:t>
      </w:r>
      <w:bookmarkEnd w:id="17"/>
    </w:p>
    <w:p w14:paraId="3D7AC3F3" w14:textId="7047EF1A" w:rsidR="00D916B3" w:rsidRPr="00B30F45" w:rsidRDefault="00843901" w:rsidP="00D916B3">
      <w:r>
        <w:t xml:space="preserve">An alternative approach to dormant BWP is to support </w:t>
      </w:r>
      <w:proofErr w:type="spellStart"/>
      <w:r>
        <w:t>SCell</w:t>
      </w:r>
      <w:proofErr w:type="spellEnd"/>
      <w:r>
        <w:t xml:space="preserve"> dormancy with a completely new DCI-signaling scheme as follows. </w:t>
      </w:r>
      <w:r w:rsidR="004B2006">
        <w:t>A</w:t>
      </w:r>
      <w:r w:rsidR="00D916B3" w:rsidRPr="001959D9">
        <w:t xml:space="preserve"> DCI-based search space </w:t>
      </w:r>
      <w:r w:rsidR="002B2C6E">
        <w:t xml:space="preserve">(SS) </w:t>
      </w:r>
      <w:r w:rsidR="00D916B3" w:rsidRPr="00B529D8">
        <w:t xml:space="preserve">set activation/deactivation scheme </w:t>
      </w:r>
      <w:r w:rsidR="004B2006">
        <w:t>has been</w:t>
      </w:r>
      <w:r w:rsidR="00D916B3" w:rsidRPr="00B529D8">
        <w:t xml:space="preserve"> proposed in the context of PDCCH </w:t>
      </w:r>
      <w:r w:rsidR="00D916B3" w:rsidRPr="00CC50CB">
        <w:t>monitoring reduction</w:t>
      </w:r>
      <w:r w:rsidR="004B2006">
        <w:t xml:space="preserve"> </w:t>
      </w:r>
      <w:r w:rsidR="00F041BF">
        <w:fldChar w:fldCharType="begin"/>
      </w:r>
      <w:r w:rsidR="00F041BF">
        <w:instrText xml:space="preserve"> REF _Ref534965540 \r \h </w:instrText>
      </w:r>
      <w:r w:rsidR="00F041BF">
        <w:fldChar w:fldCharType="separate"/>
      </w:r>
      <w:r w:rsidR="00FB0BB0">
        <w:t>[2]</w:t>
      </w:r>
      <w:r w:rsidR="00F041BF">
        <w:fldChar w:fldCharType="end"/>
      </w:r>
      <w:r w:rsidR="00D916B3" w:rsidRPr="00CC50CB">
        <w:t xml:space="preserve">. </w:t>
      </w:r>
      <w:r w:rsidR="00D916B3" w:rsidRPr="00B30F45">
        <w:t xml:space="preserve">In this scheme, the SS sets in the </w:t>
      </w:r>
      <w:proofErr w:type="spellStart"/>
      <w:r w:rsidR="00D916B3" w:rsidRPr="00B30F45">
        <w:t>SCell</w:t>
      </w:r>
      <w:proofErr w:type="spellEnd"/>
      <w:r w:rsidR="00D916B3" w:rsidRPr="00B30F45">
        <w:t xml:space="preserve"> remains inactive normally, and can be selectively activated by DCI signaling from the anchor SS set. When a SS set is inactive, the UE will skip PDCCH monitoring in the set.</w:t>
      </w:r>
    </w:p>
    <w:p w14:paraId="29BC1A5E" w14:textId="260C938C" w:rsidR="00D916B3" w:rsidRPr="00B30F45" w:rsidRDefault="00843901" w:rsidP="00D916B3">
      <w:r>
        <w:t>W</w:t>
      </w:r>
      <w:r w:rsidR="00D916B3" w:rsidRPr="00B30F45">
        <w:t>hen all the configured SS sets within the cell are inactive</w:t>
      </w:r>
      <w:r>
        <w:t xml:space="preserve">, “dormancy” behavior is assumed for the </w:t>
      </w:r>
      <w:proofErr w:type="spellStart"/>
      <w:r>
        <w:t>SCell</w:t>
      </w:r>
      <w:proofErr w:type="spellEnd"/>
      <w:r w:rsidR="00D916B3" w:rsidRPr="00B30F45">
        <w:t xml:space="preserve">. Therefore, the DCI-based SS set activation/deactivation may be considered as a signaling basis for fast transition of </w:t>
      </w:r>
      <w:proofErr w:type="spellStart"/>
      <w:r w:rsidR="00D916B3" w:rsidRPr="00B30F45">
        <w:t>SCell</w:t>
      </w:r>
      <w:proofErr w:type="spellEnd"/>
      <w:r w:rsidR="00D916B3" w:rsidRPr="00B30F45">
        <w:t xml:space="preserve"> to the dormancy state.</w:t>
      </w:r>
    </w:p>
    <w:p w14:paraId="304C60DD" w14:textId="16FE8FAD" w:rsidR="00D916B3" w:rsidRPr="00075F9A" w:rsidRDefault="00D916B3" w:rsidP="00D916B3">
      <w:pPr>
        <w:pStyle w:val="Caption"/>
      </w:pPr>
      <w:bookmarkStart w:id="18" w:name="_Toc528863312"/>
      <w:bookmarkStart w:id="19" w:name="_Toc528958967"/>
      <w:bookmarkStart w:id="20" w:name="_Toc528960883"/>
      <w:bookmarkStart w:id="21" w:name="_Toc534394002"/>
      <w:bookmarkStart w:id="22" w:name="_Toc16865498"/>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FB0BB0">
        <w:rPr>
          <w:noProof/>
        </w:rPr>
        <w:t>6</w:t>
      </w:r>
      <w:r w:rsidRPr="00075F9A">
        <w:rPr>
          <w:noProof/>
        </w:rPr>
        <w:fldChar w:fldCharType="end"/>
      </w:r>
      <w:r w:rsidRPr="00075F9A">
        <w:t xml:space="preserve">: Semi-persistent search space configuration based on DCI-signaling can be considered </w:t>
      </w:r>
      <w:r w:rsidR="008C2FF3">
        <w:t xml:space="preserve">as an alternative </w:t>
      </w:r>
      <w:r w:rsidRPr="00075F9A">
        <w:t xml:space="preserve">to support fast transitioning in and out of </w:t>
      </w:r>
      <w:proofErr w:type="spellStart"/>
      <w:r w:rsidRPr="00075F9A">
        <w:t>SCell</w:t>
      </w:r>
      <w:proofErr w:type="spellEnd"/>
      <w:r w:rsidRPr="00075F9A">
        <w:t xml:space="preserve"> </w:t>
      </w:r>
      <w:r w:rsidR="00BC501C">
        <w:t>“</w:t>
      </w:r>
      <w:r w:rsidRPr="00075F9A">
        <w:t>dormancy</w:t>
      </w:r>
      <w:r w:rsidR="00BC501C">
        <w:t>”</w:t>
      </w:r>
      <w:r w:rsidR="0013407C">
        <w:t xml:space="preserve"> </w:t>
      </w:r>
      <w:r w:rsidR="00BC501C">
        <w:t>behavior</w:t>
      </w:r>
      <w:r w:rsidRPr="00075F9A">
        <w:t>.</w:t>
      </w:r>
      <w:bookmarkEnd w:id="18"/>
      <w:bookmarkEnd w:id="19"/>
      <w:bookmarkEnd w:id="20"/>
      <w:bookmarkEnd w:id="21"/>
      <w:bookmarkEnd w:id="22"/>
    </w:p>
    <w:p w14:paraId="3CC81129" w14:textId="77777777" w:rsidR="00D916B3" w:rsidRDefault="00D916B3" w:rsidP="00D916B3"/>
    <w:p w14:paraId="62471AA6" w14:textId="6F188C72" w:rsidR="00D916B3" w:rsidRPr="00075F9A" w:rsidRDefault="00BE6E44" w:rsidP="00861247">
      <w:pPr>
        <w:pStyle w:val="Heading2"/>
      </w:pPr>
      <w:r>
        <w:lastRenderedPageBreak/>
        <w:t>Usage</w:t>
      </w:r>
      <w:r w:rsidR="00843901">
        <w:t xml:space="preserve"> of fast </w:t>
      </w:r>
      <w:proofErr w:type="spellStart"/>
      <w:r w:rsidR="00843901">
        <w:t>SCell</w:t>
      </w:r>
      <w:proofErr w:type="spellEnd"/>
      <w:r w:rsidR="00843901">
        <w:t xml:space="preserve"> activation and dormant BWP</w:t>
      </w:r>
    </w:p>
    <w:p w14:paraId="5CD63A74" w14:textId="0275FBC2" w:rsidR="00D916B3" w:rsidRDefault="00D916B3" w:rsidP="00D916B3">
      <w:r>
        <w:t>O</w:t>
      </w:r>
      <w:r w:rsidRPr="001959D9">
        <w:t xml:space="preserve">ne difference </w:t>
      </w:r>
      <w:r w:rsidR="00BE6E44">
        <w:t xml:space="preserve">between </w:t>
      </w:r>
      <w:proofErr w:type="spellStart"/>
      <w:r w:rsidRPr="001959D9">
        <w:t>SCell</w:t>
      </w:r>
      <w:proofErr w:type="spellEnd"/>
      <w:r w:rsidRPr="001959D9">
        <w:t xml:space="preserve"> dormancy </w:t>
      </w:r>
      <w:r w:rsidR="00BE6E44">
        <w:t>and</w:t>
      </w:r>
      <w:r w:rsidRPr="001959D9">
        <w:t xml:space="preserve"> </w:t>
      </w:r>
      <w:proofErr w:type="spellStart"/>
      <w:r w:rsidRPr="001959D9">
        <w:t>SCell</w:t>
      </w:r>
      <w:proofErr w:type="spellEnd"/>
      <w:r w:rsidRPr="001959D9">
        <w:t xml:space="preserve"> </w:t>
      </w:r>
      <w:r w:rsidR="00BE6E44">
        <w:t>deactivation is that</w:t>
      </w:r>
      <w:r w:rsidRPr="00B529D8">
        <w:t xml:space="preserve">, </w:t>
      </w:r>
      <w:r w:rsidR="00BE6E44">
        <w:t xml:space="preserve">when a </w:t>
      </w:r>
      <w:proofErr w:type="spellStart"/>
      <w:r w:rsidR="00BE6E44">
        <w:t>SCell</w:t>
      </w:r>
      <w:proofErr w:type="spellEnd"/>
      <w:r w:rsidR="00BE6E44">
        <w:t xml:space="preserve"> is deactivated, </w:t>
      </w:r>
      <w:r w:rsidRPr="00B529D8">
        <w:t xml:space="preserve">UE does not have to perform any </w:t>
      </w:r>
      <w:r w:rsidR="00520BEA">
        <w:t xml:space="preserve">CQI </w:t>
      </w:r>
      <w:r w:rsidRPr="00B529D8">
        <w:t xml:space="preserve">measurement or operations on the </w:t>
      </w:r>
      <w:proofErr w:type="spellStart"/>
      <w:r w:rsidRPr="00B529D8">
        <w:t>SCell</w:t>
      </w:r>
      <w:proofErr w:type="spellEnd"/>
      <w:r w:rsidRPr="00075F9A">
        <w:t xml:space="preserve">, whereas </w:t>
      </w:r>
      <w:r w:rsidR="002859DD">
        <w:t xml:space="preserve">when </w:t>
      </w:r>
      <w:proofErr w:type="spellStart"/>
      <w:r w:rsidRPr="00075F9A">
        <w:t>SCell</w:t>
      </w:r>
      <w:proofErr w:type="spellEnd"/>
      <w:r w:rsidR="002859DD">
        <w:t xml:space="preserve"> is in dormant </w:t>
      </w:r>
      <w:proofErr w:type="gramStart"/>
      <w:r w:rsidR="002859DD">
        <w:t>BWP</w:t>
      </w:r>
      <w:r w:rsidRPr="00075F9A">
        <w:t xml:space="preserve"> ,</w:t>
      </w:r>
      <w:proofErr w:type="gramEnd"/>
      <w:r w:rsidRPr="00075F9A">
        <w:t xml:space="preserve"> UE may</w:t>
      </w:r>
      <w:r w:rsidRPr="001959D9">
        <w:t xml:space="preserve"> perform CQI measurements and reporting, albeit at a much sparser periodicity. It is expected that transitioning from </w:t>
      </w:r>
      <w:r w:rsidR="002859DD">
        <w:t xml:space="preserve">dormant BWP to an active BWP with PDCCH/PDSCH configuration </w:t>
      </w:r>
      <w:r w:rsidRPr="001959D9">
        <w:t xml:space="preserve">is much shorter than </w:t>
      </w:r>
      <w:proofErr w:type="spellStart"/>
      <w:r w:rsidR="002859DD">
        <w:t>SCell</w:t>
      </w:r>
      <w:proofErr w:type="spellEnd"/>
      <w:r w:rsidR="002859DD">
        <w:t xml:space="preserve"> activation</w:t>
      </w:r>
      <w:r>
        <w:t>. Based on initial estimates</w:t>
      </w:r>
      <w:r w:rsidR="00D20672">
        <w:t xml:space="preserve"> for our earlier example, </w:t>
      </w:r>
      <w:r>
        <w:t>even for the best optimization scenario</w:t>
      </w:r>
      <w:r w:rsidR="00D20672">
        <w:t>,</w:t>
      </w:r>
      <w:r>
        <w:t xml:space="preserve"> </w:t>
      </w:r>
      <w:proofErr w:type="spellStart"/>
      <w:r>
        <w:t>SCell</w:t>
      </w:r>
      <w:proofErr w:type="spellEnd"/>
      <w:r>
        <w:t xml:space="preserve"> activation latency may be reduced to </w:t>
      </w:r>
      <w:r w:rsidR="00D20672">
        <w:t xml:space="preserve">approximately </w:t>
      </w:r>
      <w:r>
        <w:t>7 milliseconds, but still quite large compared to dorman</w:t>
      </w:r>
      <w:r w:rsidR="002859DD">
        <w:t>t</w:t>
      </w:r>
      <w:r>
        <w:t xml:space="preserve"> BWP transition latency.</w:t>
      </w:r>
    </w:p>
    <w:tbl>
      <w:tblPr>
        <w:tblStyle w:val="TableGrid"/>
        <w:tblW w:w="0" w:type="auto"/>
        <w:tblInd w:w="895" w:type="dxa"/>
        <w:tblLook w:val="04A0" w:firstRow="1" w:lastRow="0" w:firstColumn="1" w:lastColumn="0" w:noHBand="0" w:noVBand="1"/>
      </w:tblPr>
      <w:tblGrid>
        <w:gridCol w:w="3060"/>
        <w:gridCol w:w="1530"/>
        <w:gridCol w:w="3510"/>
      </w:tblGrid>
      <w:tr w:rsidR="00AB690F" w14:paraId="08EC1698" w14:textId="77777777" w:rsidTr="00850AAF">
        <w:tc>
          <w:tcPr>
            <w:tcW w:w="3060" w:type="dxa"/>
          </w:tcPr>
          <w:p w14:paraId="56A1909A" w14:textId="77777777" w:rsidR="00AB690F" w:rsidRPr="00F45E8B" w:rsidRDefault="00AB690F" w:rsidP="00850AAF">
            <w:pPr>
              <w:rPr>
                <w:b/>
              </w:rPr>
            </w:pPr>
            <w:r w:rsidRPr="00F45E8B">
              <w:rPr>
                <w:b/>
              </w:rPr>
              <w:t>Scheme</w:t>
            </w:r>
          </w:p>
        </w:tc>
        <w:tc>
          <w:tcPr>
            <w:tcW w:w="1530" w:type="dxa"/>
          </w:tcPr>
          <w:p w14:paraId="0F355AA3" w14:textId="77777777" w:rsidR="00AB690F" w:rsidRDefault="00AB690F" w:rsidP="00850AAF">
            <w:pPr>
              <w:rPr>
                <w:b/>
              </w:rPr>
            </w:pPr>
            <w:r w:rsidRPr="00F45E8B">
              <w:rPr>
                <w:b/>
              </w:rPr>
              <w:t>Latency</w:t>
            </w:r>
          </w:p>
          <w:p w14:paraId="0CE2C7E8" w14:textId="77777777" w:rsidR="00AB690F" w:rsidRPr="00F45E8B" w:rsidRDefault="00AB690F" w:rsidP="00850AAF">
            <w:pPr>
              <w:rPr>
                <w:b/>
              </w:rPr>
            </w:pPr>
            <w:r>
              <w:rPr>
                <w:b/>
              </w:rPr>
              <w:t>(15kHz SCS)</w:t>
            </w:r>
          </w:p>
        </w:tc>
        <w:tc>
          <w:tcPr>
            <w:tcW w:w="3510" w:type="dxa"/>
          </w:tcPr>
          <w:p w14:paraId="731BB498" w14:textId="77777777" w:rsidR="00AB690F" w:rsidRPr="00F45E8B" w:rsidRDefault="00AB690F" w:rsidP="00850AAF">
            <w:pPr>
              <w:rPr>
                <w:b/>
              </w:rPr>
            </w:pPr>
            <w:r>
              <w:rPr>
                <w:b/>
              </w:rPr>
              <w:t>Comment</w:t>
            </w:r>
          </w:p>
        </w:tc>
      </w:tr>
      <w:tr w:rsidR="00AB690F" w14:paraId="02BEA592" w14:textId="77777777" w:rsidTr="00850AAF">
        <w:tc>
          <w:tcPr>
            <w:tcW w:w="3060" w:type="dxa"/>
          </w:tcPr>
          <w:p w14:paraId="642B83EF" w14:textId="77777777" w:rsidR="00AB690F" w:rsidRDefault="00AB690F" w:rsidP="00850AAF">
            <w:r w:rsidRPr="001D0819">
              <w:t>Dormant BWP switching</w:t>
            </w:r>
          </w:p>
        </w:tc>
        <w:tc>
          <w:tcPr>
            <w:tcW w:w="1530" w:type="dxa"/>
          </w:tcPr>
          <w:p w14:paraId="747142EF" w14:textId="480C5E7C" w:rsidR="00AB690F" w:rsidRDefault="003720D1" w:rsidP="00850AAF">
            <w:r>
              <w:t>1</w:t>
            </w:r>
            <w:r w:rsidR="00AB690F" w:rsidRPr="001D0819">
              <w:t>~</w:t>
            </w:r>
            <w:r>
              <w:t>3</w:t>
            </w:r>
            <w:r w:rsidRPr="001D0819">
              <w:t xml:space="preserve"> </w:t>
            </w:r>
            <w:proofErr w:type="spellStart"/>
            <w:r w:rsidR="00AB690F" w:rsidRPr="001D0819">
              <w:t>msec</w:t>
            </w:r>
            <w:proofErr w:type="spellEnd"/>
          </w:p>
        </w:tc>
        <w:tc>
          <w:tcPr>
            <w:tcW w:w="3510" w:type="dxa"/>
          </w:tcPr>
          <w:p w14:paraId="3821C63B" w14:textId="77777777" w:rsidR="00AB690F" w:rsidRDefault="00AB690F" w:rsidP="00850AAF">
            <w:pPr>
              <w:jc w:val="left"/>
            </w:pPr>
            <w:r>
              <w:t>BWP transition latency for multiple CC is to be decided in RAN4</w:t>
            </w:r>
          </w:p>
        </w:tc>
      </w:tr>
      <w:tr w:rsidR="00AB690F" w14:paraId="5C02A423" w14:textId="77777777" w:rsidTr="00850AAF">
        <w:tc>
          <w:tcPr>
            <w:tcW w:w="3060" w:type="dxa"/>
          </w:tcPr>
          <w:p w14:paraId="66E2873C" w14:textId="77777777" w:rsidR="00AB690F" w:rsidRPr="001D0819" w:rsidRDefault="00AB690F" w:rsidP="00850AAF">
            <w:r w:rsidRPr="00F45E8B">
              <w:t xml:space="preserve">Fast </w:t>
            </w:r>
            <w:proofErr w:type="spellStart"/>
            <w:r w:rsidRPr="00F45E8B">
              <w:t>Scell</w:t>
            </w:r>
            <w:proofErr w:type="spellEnd"/>
            <w:r w:rsidRPr="00F45E8B">
              <w:t xml:space="preserve"> activation</w:t>
            </w:r>
          </w:p>
        </w:tc>
        <w:tc>
          <w:tcPr>
            <w:tcW w:w="1530" w:type="dxa"/>
          </w:tcPr>
          <w:p w14:paraId="1B6B07A8" w14:textId="73630D25" w:rsidR="00AB690F" w:rsidRPr="001D0819" w:rsidRDefault="003720D1" w:rsidP="00850AAF">
            <w:r>
              <w:t>7</w:t>
            </w:r>
            <w:r w:rsidR="00AB690F">
              <w:t>~</w:t>
            </w:r>
            <w:r>
              <w:t>12</w:t>
            </w:r>
            <w:r w:rsidR="00AB690F" w:rsidRPr="00F45E8B">
              <w:t xml:space="preserve"> </w:t>
            </w:r>
            <w:proofErr w:type="spellStart"/>
            <w:r w:rsidR="00AB690F" w:rsidRPr="00F45E8B">
              <w:t>msec</w:t>
            </w:r>
            <w:proofErr w:type="spellEnd"/>
            <w:r w:rsidR="00AB690F" w:rsidRPr="00F45E8B">
              <w:t xml:space="preserve"> </w:t>
            </w:r>
          </w:p>
        </w:tc>
        <w:tc>
          <w:tcPr>
            <w:tcW w:w="3510" w:type="dxa"/>
          </w:tcPr>
          <w:p w14:paraId="74117000" w14:textId="77777777" w:rsidR="00AB690F" w:rsidRDefault="00AB690F" w:rsidP="00850AAF">
            <w:pPr>
              <w:jc w:val="left"/>
            </w:pPr>
            <w:r>
              <w:t>B</w:t>
            </w:r>
            <w:r w:rsidRPr="00F45E8B">
              <w:t xml:space="preserve">est </w:t>
            </w:r>
            <w:r>
              <w:t>optimization estimate</w:t>
            </w:r>
          </w:p>
        </w:tc>
      </w:tr>
      <w:tr w:rsidR="00AB690F" w14:paraId="2F6202E4" w14:textId="77777777" w:rsidTr="00850AAF">
        <w:tc>
          <w:tcPr>
            <w:tcW w:w="3060" w:type="dxa"/>
          </w:tcPr>
          <w:p w14:paraId="6C5FC188" w14:textId="77777777" w:rsidR="00AB690F" w:rsidRPr="001D0819" w:rsidRDefault="00AB690F" w:rsidP="00850AAF">
            <w:r>
              <w:t xml:space="preserve">Rel-15 </w:t>
            </w:r>
            <w:proofErr w:type="spellStart"/>
            <w:r>
              <w:t>SCell</w:t>
            </w:r>
            <w:proofErr w:type="spellEnd"/>
            <w:r>
              <w:t xml:space="preserve"> activation (baseline)</w:t>
            </w:r>
          </w:p>
        </w:tc>
        <w:tc>
          <w:tcPr>
            <w:tcW w:w="1530" w:type="dxa"/>
          </w:tcPr>
          <w:p w14:paraId="3090710C" w14:textId="793CB571" w:rsidR="00AB690F" w:rsidRPr="001D0819" w:rsidRDefault="00AB690F" w:rsidP="00850AAF">
            <w:r>
              <w:t>2</w:t>
            </w:r>
            <w:r w:rsidR="00BE6E44">
              <w:t>8</w:t>
            </w:r>
            <w:r>
              <w:t>~8</w:t>
            </w:r>
            <w:r w:rsidR="00BE6E44">
              <w:t>8</w:t>
            </w:r>
            <w:r>
              <w:t xml:space="preserve"> </w:t>
            </w:r>
            <w:proofErr w:type="spellStart"/>
            <w:r>
              <w:t>msec</w:t>
            </w:r>
            <w:proofErr w:type="spellEnd"/>
          </w:p>
        </w:tc>
        <w:tc>
          <w:tcPr>
            <w:tcW w:w="3510" w:type="dxa"/>
          </w:tcPr>
          <w:p w14:paraId="304DAFE7" w14:textId="77777777" w:rsidR="00AB690F" w:rsidRDefault="00AB690F" w:rsidP="00850AAF">
            <w:pPr>
              <w:jc w:val="left"/>
            </w:pPr>
            <w:r>
              <w:t xml:space="preserve">Upper range is for unknown cell. Lower range for known cell with </w:t>
            </w:r>
            <w:proofErr w:type="spellStart"/>
            <w:r>
              <w:t>SCell</w:t>
            </w:r>
            <w:proofErr w:type="spellEnd"/>
            <w:r>
              <w:t xml:space="preserve"> measurement cycle less than 160 msec.</w:t>
            </w:r>
          </w:p>
        </w:tc>
      </w:tr>
    </w:tbl>
    <w:p w14:paraId="1C6B2CC7" w14:textId="77777777" w:rsidR="00AB690F" w:rsidRDefault="00AB690F" w:rsidP="00D916B3"/>
    <w:p w14:paraId="38705C97" w14:textId="23872192" w:rsidR="00BE6E44" w:rsidRDefault="00CB6706" w:rsidP="00AB7C54">
      <w:bookmarkStart w:id="23" w:name="_Hlk534965862"/>
      <w:r>
        <w:t>The usage</w:t>
      </w:r>
      <w:r w:rsidR="00D916B3" w:rsidRPr="001959D9">
        <w:t xml:space="preserve"> </w:t>
      </w:r>
      <w:r>
        <w:t xml:space="preserve">of </w:t>
      </w:r>
      <w:r w:rsidR="00D916B3" w:rsidRPr="001959D9">
        <w:t xml:space="preserve">the two </w:t>
      </w:r>
      <w:r w:rsidR="00AB690F">
        <w:t xml:space="preserve">proposed schemes </w:t>
      </w:r>
      <w:bookmarkEnd w:id="23"/>
      <w:r w:rsidR="00D916B3" w:rsidRPr="001959D9">
        <w:t xml:space="preserve">can be differentiated </w:t>
      </w:r>
      <w:r w:rsidR="006746E2">
        <w:t>as follows:</w:t>
      </w:r>
      <w:r w:rsidR="00D916B3" w:rsidRPr="001959D9">
        <w:t xml:space="preserve"> </w:t>
      </w:r>
      <w:r w:rsidR="006746E2">
        <w:t>D</w:t>
      </w:r>
      <w:r w:rsidR="00D916B3" w:rsidRPr="001959D9">
        <w:t>orman</w:t>
      </w:r>
      <w:r w:rsidR="002859DD">
        <w:t>t</w:t>
      </w:r>
      <w:r w:rsidR="00D916B3" w:rsidRPr="001959D9">
        <w:t xml:space="preserve"> </w:t>
      </w:r>
      <w:r w:rsidR="002859DD">
        <w:t xml:space="preserve">BWP switching </w:t>
      </w:r>
      <w:r w:rsidR="00D916B3" w:rsidRPr="001959D9">
        <w:t xml:space="preserve">targets faster </w:t>
      </w:r>
      <w:r w:rsidR="002859DD">
        <w:t xml:space="preserve">adaptation to </w:t>
      </w:r>
      <w:r w:rsidR="00D916B3" w:rsidRPr="00B30F45">
        <w:t xml:space="preserve">short-term traffic variations, while </w:t>
      </w:r>
      <w:proofErr w:type="spellStart"/>
      <w:r w:rsidR="00D916B3" w:rsidRPr="00B30F45">
        <w:t>SCell</w:t>
      </w:r>
      <w:proofErr w:type="spellEnd"/>
      <w:r w:rsidR="00D916B3" w:rsidRPr="00B30F45">
        <w:t xml:space="preserve"> activation/deactivation targets long-term traffic variations.</w:t>
      </w:r>
      <w:r w:rsidR="006C65BE">
        <w:t xml:space="preserve"> </w:t>
      </w:r>
      <w:r w:rsidR="00BE6E44" w:rsidRPr="00B30F45">
        <w:t xml:space="preserve">During period of low traffic activity, activated </w:t>
      </w:r>
      <w:proofErr w:type="spellStart"/>
      <w:r w:rsidR="00BE6E44" w:rsidRPr="00B30F45">
        <w:t>SCell</w:t>
      </w:r>
      <w:proofErr w:type="spellEnd"/>
      <w:r w:rsidR="00BE6E44" w:rsidRPr="00B30F45">
        <w:t xml:space="preserve">(s) can have its active BWP switched to the dormant BWP; The UE would continue monitoring DL control channel on the </w:t>
      </w:r>
      <w:proofErr w:type="spellStart"/>
      <w:r w:rsidR="00BE6E44" w:rsidRPr="00B30F45">
        <w:t>PCell</w:t>
      </w:r>
      <w:proofErr w:type="spellEnd"/>
      <w:r w:rsidR="00BE6E44" w:rsidRPr="00B30F45">
        <w:t xml:space="preserve">, but not on the </w:t>
      </w:r>
      <w:proofErr w:type="spellStart"/>
      <w:r w:rsidR="00BE6E44" w:rsidRPr="00B30F45">
        <w:t>SCell</w:t>
      </w:r>
      <w:proofErr w:type="spellEnd"/>
      <w:r w:rsidR="00BE6E44" w:rsidRPr="00B30F45">
        <w:t xml:space="preserve">(s) </w:t>
      </w:r>
      <w:r w:rsidR="00941E9B">
        <w:t>in</w:t>
      </w:r>
      <w:r w:rsidR="00BE6E44" w:rsidRPr="00B30F45">
        <w:t xml:space="preserve"> dormant BWP.</w:t>
      </w:r>
      <w:r w:rsidR="00BE6E44">
        <w:t xml:space="preserve"> With fast L1 </w:t>
      </w:r>
      <w:proofErr w:type="spellStart"/>
      <w:r w:rsidR="00BE6E44">
        <w:t>signalling</w:t>
      </w:r>
      <w:proofErr w:type="spellEnd"/>
      <w:r w:rsidR="00BE6E44">
        <w:t xml:space="preserve"> for transitions in-and-out of dormant BWP, the </w:t>
      </w:r>
      <w:proofErr w:type="spellStart"/>
      <w:r w:rsidR="00BE6E44">
        <w:t>SCell</w:t>
      </w:r>
      <w:proofErr w:type="spellEnd"/>
      <w:r w:rsidR="00985A94">
        <w:t>(s)</w:t>
      </w:r>
      <w:r w:rsidR="00BE6E44">
        <w:t xml:space="preserve"> can quickly adapt to short-term traffic variations for power saving. In contrast, </w:t>
      </w:r>
      <w:proofErr w:type="spellStart"/>
      <w:r w:rsidR="00BE6E44">
        <w:t>SCell</w:t>
      </w:r>
      <w:proofErr w:type="spellEnd"/>
      <w:r w:rsidR="00BE6E44">
        <w:t xml:space="preserve"> activation/deactivation via MAC-CE / </w:t>
      </w:r>
      <w:proofErr w:type="spellStart"/>
      <w:r w:rsidR="00BE6E44" w:rsidRPr="00A13CD7">
        <w:rPr>
          <w:i/>
        </w:rPr>
        <w:t>SCellDeactivationTimer</w:t>
      </w:r>
      <w:proofErr w:type="spellEnd"/>
      <w:r w:rsidR="00BE6E44">
        <w:t xml:space="preserve">, with its higher overhead and latency, is used much less frequently and only on a much large time scale. Support for dormant BWP on </w:t>
      </w:r>
      <w:proofErr w:type="spellStart"/>
      <w:r w:rsidR="00BE6E44">
        <w:t>SCell</w:t>
      </w:r>
      <w:proofErr w:type="spellEnd"/>
      <w:r w:rsidR="00BE6E44">
        <w:t xml:space="preserve"> provides additional flexibility and power saving on top of C-DRX which applies to </w:t>
      </w:r>
      <w:proofErr w:type="spellStart"/>
      <w:r w:rsidR="00BE6E44">
        <w:t>PCell</w:t>
      </w:r>
      <w:proofErr w:type="spellEnd"/>
      <w:r w:rsidR="00BE6E44">
        <w:t xml:space="preserve"> and </w:t>
      </w:r>
      <w:proofErr w:type="spellStart"/>
      <w:r w:rsidR="00BE6E44">
        <w:t>SCell</w:t>
      </w:r>
      <w:proofErr w:type="spellEnd"/>
      <w:r w:rsidR="00BE6E44">
        <w:t xml:space="preserve"> jointly. Figure 6 illustrates an example of the relative timeline.</w:t>
      </w:r>
    </w:p>
    <w:p w14:paraId="499CCC05" w14:textId="77777777" w:rsidR="00BE6E44" w:rsidRDefault="00BE6E44" w:rsidP="00BE6E44">
      <w:pPr>
        <w:keepNext/>
        <w:spacing w:before="120"/>
      </w:pPr>
      <w:r>
        <w:object w:dxaOrig="10801" w:dyaOrig="4802" w14:anchorId="7F10894D">
          <v:shape id="_x0000_i1029" type="#_x0000_t75" style="width:410.7pt;height:187.8pt" o:ole="">
            <v:imagedata r:id="rId20" o:title=""/>
          </v:shape>
          <o:OLEObject Type="Embed" ProgID="Visio.Drawing.11" ShapeID="_x0000_i1029" DrawAspect="Content" ObjectID="_1627480177" r:id="rId21"/>
        </w:object>
      </w:r>
    </w:p>
    <w:p w14:paraId="1F4BBA61" w14:textId="77777777" w:rsidR="00BE6E44" w:rsidRPr="00B30F45" w:rsidRDefault="00BE6E44" w:rsidP="00BE6E44">
      <w:pPr>
        <w:pStyle w:val="Caption"/>
        <w:spacing w:after="400"/>
        <w:jc w:val="center"/>
      </w:pPr>
      <w:bookmarkStart w:id="24" w:name="_Ref4619502"/>
      <w:r>
        <w:t xml:space="preserve">Figure </w:t>
      </w:r>
      <w:bookmarkEnd w:id="24"/>
      <w:r>
        <w:t xml:space="preserve">6: Timeline example of </w:t>
      </w:r>
      <w:proofErr w:type="spellStart"/>
      <w:r>
        <w:t>SCell</w:t>
      </w:r>
      <w:proofErr w:type="spellEnd"/>
      <w:r>
        <w:t xml:space="preserve"> state, BWP, traffic, and C-DRX operation.</w:t>
      </w:r>
    </w:p>
    <w:p w14:paraId="346CFAB2" w14:textId="77777777" w:rsidR="009E24D6" w:rsidRDefault="009E24D6" w:rsidP="00AB7C54">
      <w:bookmarkStart w:id="25" w:name="_Ref4757304"/>
    </w:p>
    <w:p w14:paraId="07D112C9" w14:textId="0B1A26B3" w:rsidR="00BE6E44" w:rsidRDefault="0033483E" w:rsidP="0033483E">
      <w:pPr>
        <w:pStyle w:val="Heading3"/>
      </w:pPr>
      <w:bookmarkStart w:id="26" w:name="_Ref16845142"/>
      <w:r>
        <w:t>DCI Design Consideration</w:t>
      </w:r>
      <w:bookmarkEnd w:id="25"/>
      <w:bookmarkEnd w:id="26"/>
    </w:p>
    <w:p w14:paraId="59339059" w14:textId="4CA287E0" w:rsidR="0033483E" w:rsidRDefault="0033483E" w:rsidP="0033483E">
      <w:pPr>
        <w:rPr>
          <w:lang w:val="en-GB"/>
        </w:rPr>
      </w:pPr>
      <w:r>
        <w:rPr>
          <w:lang w:val="en-GB"/>
        </w:rPr>
        <w:t xml:space="preserve">There are two potential </w:t>
      </w:r>
      <w:r w:rsidR="0085032D">
        <w:rPr>
          <w:lang w:val="en-GB"/>
        </w:rPr>
        <w:t xml:space="preserve">schemes </w:t>
      </w:r>
      <w:r>
        <w:rPr>
          <w:lang w:val="en-GB"/>
        </w:rPr>
        <w:t xml:space="preserve">where new DCI </w:t>
      </w:r>
      <w:r w:rsidR="006E3316">
        <w:rPr>
          <w:lang w:val="en-GB"/>
        </w:rPr>
        <w:t>signalling would be needed:</w:t>
      </w:r>
    </w:p>
    <w:p w14:paraId="4D925119" w14:textId="63FDEF23" w:rsidR="006E3316" w:rsidRDefault="006E3316" w:rsidP="006E3316">
      <w:pPr>
        <w:pStyle w:val="ListParagraph"/>
        <w:numPr>
          <w:ilvl w:val="0"/>
          <w:numId w:val="52"/>
        </w:numPr>
      </w:pPr>
      <w:r>
        <w:lastRenderedPageBreak/>
        <w:t xml:space="preserve">When </w:t>
      </w:r>
      <w:proofErr w:type="spellStart"/>
      <w:r>
        <w:t>SCells</w:t>
      </w:r>
      <w:proofErr w:type="spellEnd"/>
      <w:r>
        <w:t xml:space="preserve"> are in dormant BWP, the trigger to transition to an active BWP with PDCCH/PDSCH configuration has to be provided on the </w:t>
      </w:r>
      <w:proofErr w:type="spellStart"/>
      <w:r>
        <w:t>PCell</w:t>
      </w:r>
      <w:proofErr w:type="spellEnd"/>
      <w:r>
        <w:t xml:space="preserve"> where UE still monitors PDCCH. As discussed in Section </w:t>
      </w:r>
      <w:r>
        <w:fldChar w:fldCharType="begin"/>
      </w:r>
      <w:r>
        <w:instrText xml:space="preserve"> REF _Ref4744460 \r \h </w:instrText>
      </w:r>
      <w:r>
        <w:fldChar w:fldCharType="separate"/>
      </w:r>
      <w:r w:rsidR="00FB0BB0">
        <w:t>2.2.1</w:t>
      </w:r>
      <w:r>
        <w:fldChar w:fldCharType="end"/>
      </w:r>
      <w:r>
        <w:t xml:space="preserve">, this trigger can be either implicit or explicit. In the explicit </w:t>
      </w:r>
      <w:r w:rsidR="0085032D">
        <w:t>option</w:t>
      </w:r>
      <w:r>
        <w:t xml:space="preserve">, a cross-carrier BWP switching trigger is needed, i.e. a DCI received on the </w:t>
      </w:r>
      <w:proofErr w:type="spellStart"/>
      <w:r>
        <w:t>PCell</w:t>
      </w:r>
      <w:proofErr w:type="spellEnd"/>
      <w:r>
        <w:t xml:space="preserve"> that delivers the information about </w:t>
      </w:r>
      <w:proofErr w:type="spellStart"/>
      <w:r>
        <w:t>SCell</w:t>
      </w:r>
      <w:proofErr w:type="spellEnd"/>
      <w:r>
        <w:t xml:space="preserve"> BWP transition </w:t>
      </w:r>
      <w:r w:rsidR="00D72420">
        <w:t>from</w:t>
      </w:r>
      <w:r>
        <w:t xml:space="preserve"> the dormant BWP.</w:t>
      </w:r>
    </w:p>
    <w:p w14:paraId="3FE43E46" w14:textId="39AF4CFF" w:rsidR="0085032D" w:rsidRDefault="0085032D" w:rsidP="00AB7C54">
      <w:pPr>
        <w:pStyle w:val="ListParagraph"/>
        <w:numPr>
          <w:ilvl w:val="1"/>
          <w:numId w:val="52"/>
        </w:numPr>
      </w:pPr>
      <w:r>
        <w:t xml:space="preserve">Note: If cross-carrier scheduling is enabled, it is possible to have a configuration such that a BWP switching DCI can be transmitted on </w:t>
      </w:r>
      <w:proofErr w:type="spellStart"/>
      <w:r>
        <w:t>PCell</w:t>
      </w:r>
      <w:proofErr w:type="spellEnd"/>
      <w:r>
        <w:t xml:space="preserve"> to switch the BWP of the </w:t>
      </w:r>
      <w:proofErr w:type="spellStart"/>
      <w:r>
        <w:t>SCell</w:t>
      </w:r>
      <w:proofErr w:type="spellEnd"/>
      <w:r>
        <w:t xml:space="preserve"> indicated by the CIF, and this works even when the </w:t>
      </w:r>
      <w:proofErr w:type="spellStart"/>
      <w:r>
        <w:t>SCell</w:t>
      </w:r>
      <w:proofErr w:type="spellEnd"/>
      <w:r>
        <w:t xml:space="preserve"> is in dormant BWP. However, the disadvantage of this approach are two folds: (</w:t>
      </w:r>
      <w:proofErr w:type="spellStart"/>
      <w:r>
        <w:t>i</w:t>
      </w:r>
      <w:proofErr w:type="spellEnd"/>
      <w:r>
        <w:t xml:space="preserve">) Dependency on the cross-carrier scheduling feature for dormant BWP switching is undesirable, (ii) group </w:t>
      </w:r>
      <w:proofErr w:type="spellStart"/>
      <w:r>
        <w:t>SCell</w:t>
      </w:r>
      <w:proofErr w:type="spellEnd"/>
      <w:r>
        <w:t xml:space="preserve"> </w:t>
      </w:r>
      <w:proofErr w:type="spellStart"/>
      <w:r>
        <w:t>signaling</w:t>
      </w:r>
      <w:proofErr w:type="spellEnd"/>
      <w:r>
        <w:t xml:space="preserve"> is not supported.</w:t>
      </w:r>
    </w:p>
    <w:p w14:paraId="7521C55C" w14:textId="5715FDA0" w:rsidR="006E3316" w:rsidRDefault="006E3316" w:rsidP="006E3316">
      <w:pPr>
        <w:pStyle w:val="ListParagraph"/>
        <w:numPr>
          <w:ilvl w:val="0"/>
          <w:numId w:val="52"/>
        </w:numPr>
      </w:pPr>
      <w:r>
        <w:t xml:space="preserve">If DCI-based </w:t>
      </w:r>
      <w:proofErr w:type="spellStart"/>
      <w:r>
        <w:t>SCell</w:t>
      </w:r>
      <w:proofErr w:type="spellEnd"/>
      <w:r>
        <w:t xml:space="preserve"> activation is adopted, new DCI signalling would be needed to convoy </w:t>
      </w:r>
      <w:proofErr w:type="spellStart"/>
      <w:r>
        <w:t>SCell</w:t>
      </w:r>
      <w:proofErr w:type="spellEnd"/>
      <w:r>
        <w:t xml:space="preserve"> activation information. The information should be similar to that </w:t>
      </w:r>
      <w:r w:rsidR="000516F5">
        <w:t>in</w:t>
      </w:r>
      <w:r>
        <w:t xml:space="preserve"> the MAC-CE </w:t>
      </w:r>
      <w:proofErr w:type="spellStart"/>
      <w:r>
        <w:t>SCell</w:t>
      </w:r>
      <w:proofErr w:type="spellEnd"/>
      <w:r>
        <w:t xml:space="preserve"> activation command in Rel-15.</w:t>
      </w:r>
    </w:p>
    <w:p w14:paraId="6806B942" w14:textId="2B4B8FB9" w:rsidR="006E3316" w:rsidRDefault="006E3316" w:rsidP="006E3316">
      <w:r>
        <w:t xml:space="preserve">The design requirement is very similar between the two </w:t>
      </w:r>
      <w:r w:rsidR="0085032D">
        <w:t>schemes</w:t>
      </w:r>
      <w:r>
        <w:t>, except for the details</w:t>
      </w:r>
      <w:r w:rsidR="00F66CA9">
        <w:t xml:space="preserve"> specific to the </w:t>
      </w:r>
      <w:r w:rsidR="006A17BF">
        <w:t>content of the information</w:t>
      </w:r>
      <w:r>
        <w:t>. In the following we discuss the common part together and the details can be left for further discussion.</w:t>
      </w:r>
    </w:p>
    <w:p w14:paraId="508754A4" w14:textId="5CCDE49D" w:rsidR="006E3316" w:rsidRDefault="0085032D" w:rsidP="006E3316">
      <w:r>
        <w:t xml:space="preserve">The information for either scheme is UE-specific and there is no use case for group common signaling. </w:t>
      </w:r>
      <w:r w:rsidR="00C573B4">
        <w:t>Therefore,</w:t>
      </w:r>
      <w:r>
        <w:t xml:space="preserve"> it makes sense to designate a DCI format </w:t>
      </w:r>
      <w:r w:rsidR="00451096">
        <w:t xml:space="preserve">scrambled with C-RNTI </w:t>
      </w:r>
      <w:r>
        <w:t>for this new DCI signaling functionality.</w:t>
      </w:r>
    </w:p>
    <w:p w14:paraId="3E7353C1" w14:textId="378E620D" w:rsidR="00451096" w:rsidRDefault="00451096" w:rsidP="006E3316">
      <w:r>
        <w:t>In the current specification, C-RNTI-scrambled DCI formats are monitored in UE-specific search space and</w:t>
      </w:r>
      <w:r w:rsidR="006A17BF">
        <w:t>/or</w:t>
      </w:r>
      <w:r>
        <w:t xml:space="preserve"> Type 3 common search space (if configured). There is also a DCI size budget limit (i.e. 3 sizes for C-RNTI and overall 4 sizes per serving cell). If a new DCI format is introduced, in order to avoid impacting the DCI size budget limit, it should be size-matched to existing DCI formats scrambled with C-RNTI that the UE is already monitoring. It makes sense </w:t>
      </w:r>
      <w:r w:rsidR="00CE6E05">
        <w:t>that one of the size</w:t>
      </w:r>
      <w:r w:rsidR="0052796C">
        <w:t>-</w:t>
      </w:r>
      <w:r w:rsidR="00CE6E05">
        <w:t>match</w:t>
      </w:r>
      <w:r w:rsidR="0052796C">
        <w:t>ing</w:t>
      </w:r>
      <w:r w:rsidR="00CE6E05">
        <w:t xml:space="preserve"> targets should be </w:t>
      </w:r>
      <w:r>
        <w:t xml:space="preserve">DCI format 1-0 (i.e. fallback DL scheduling DCI). It should be noted that DCI format </w:t>
      </w:r>
      <w:r w:rsidR="0052796C">
        <w:t>0</w:t>
      </w:r>
      <w:r>
        <w:t xml:space="preserve">-0 </w:t>
      </w:r>
      <w:r w:rsidR="0052796C">
        <w:t xml:space="preserve">(i.e. fallback UL scheduling DCI) </w:t>
      </w:r>
      <w:r>
        <w:t xml:space="preserve">is always size matched to format </w:t>
      </w:r>
      <w:r w:rsidR="0052796C">
        <w:t>1</w:t>
      </w:r>
      <w:r>
        <w:t>-0.</w:t>
      </w:r>
    </w:p>
    <w:p w14:paraId="2056449F" w14:textId="220F12E8" w:rsidR="00451096" w:rsidRDefault="00451096" w:rsidP="006E3316">
      <w:r>
        <w:t>Then, if the DCI size of the new DCI is the same as</w:t>
      </w:r>
      <w:r w:rsidR="008A5CAF">
        <w:t xml:space="preserve"> the</w:t>
      </w:r>
      <w:r>
        <w:t xml:space="preserve"> existing DL scheduling DCI, and both are scrambled by C-RNTI, the new and existing DCI would be indistinguishable from each other. We can follow similar techniques as DL SPS release DCI</w:t>
      </w:r>
      <w:r w:rsidR="00FF601A">
        <w:t xml:space="preserve"> in Rel-15</w:t>
      </w:r>
      <w:r>
        <w:t>, i.e. by designating special values in certain DCI field</w:t>
      </w:r>
      <w:r w:rsidR="005B3505">
        <w:t>s</w:t>
      </w:r>
      <w:r>
        <w:t xml:space="preserve"> in the DL scheduling DCI to indicate that th</w:t>
      </w:r>
      <w:r w:rsidR="00FF601A">
        <w:t>e</w:t>
      </w:r>
      <w:r>
        <w:t xml:space="preserve"> DCI carries the new information.</w:t>
      </w:r>
      <w:r w:rsidR="007251FD">
        <w:t xml:space="preserve"> One example is to use the frequency domain resource allocation (FDRA) field: </w:t>
      </w:r>
      <w:r w:rsidR="005B3505">
        <w:t xml:space="preserve">The value of all 1’s is not valid for normal </w:t>
      </w:r>
      <w:r w:rsidR="00F22AF6">
        <w:t xml:space="preserve">usage for </w:t>
      </w:r>
      <w:r w:rsidR="005B3505">
        <w:t>scheduling, and it can be used in combination with special values in other fields to indicate that the DCI content should have</w:t>
      </w:r>
      <w:r w:rsidR="00C27410">
        <w:t xml:space="preserve"> the</w:t>
      </w:r>
      <w:r w:rsidR="005B3505">
        <w:t xml:space="preserve"> new interpretation. </w:t>
      </w:r>
    </w:p>
    <w:p w14:paraId="79541CDD" w14:textId="213FA60A" w:rsidR="005B3505" w:rsidRDefault="00C27410" w:rsidP="006E3316">
      <w:r>
        <w:t xml:space="preserve">For the cross-carrier BWP switching indication supported with the new DCI interpretation, for a DCI decoded in </w:t>
      </w:r>
      <w:proofErr w:type="spellStart"/>
      <w:r>
        <w:t>PCell</w:t>
      </w:r>
      <w:proofErr w:type="spellEnd"/>
      <w:r>
        <w:t xml:space="preserve"> to trigger </w:t>
      </w:r>
      <w:proofErr w:type="spellStart"/>
      <w:r>
        <w:t>SCells</w:t>
      </w:r>
      <w:proofErr w:type="spellEnd"/>
      <w:r>
        <w:t xml:space="preserve"> to transition from dormant BWP, we can consider the </w:t>
      </w:r>
      <w:r w:rsidR="0003708A">
        <w:t xml:space="preserve">following </w:t>
      </w:r>
      <w:r>
        <w:t>switching</w:t>
      </w:r>
      <w:r w:rsidR="0003708A">
        <w:t xml:space="preserve"> options</w:t>
      </w:r>
      <w:r>
        <w:t>: (</w:t>
      </w:r>
      <w:proofErr w:type="spellStart"/>
      <w:r>
        <w:t>i</w:t>
      </w:r>
      <w:proofErr w:type="spellEnd"/>
      <w:r>
        <w:t xml:space="preserve">) for an individual </w:t>
      </w:r>
      <w:proofErr w:type="spellStart"/>
      <w:r>
        <w:t>SCell</w:t>
      </w:r>
      <w:proofErr w:type="spellEnd"/>
      <w:r>
        <w:t xml:space="preserve">, or (ii) for a group of </w:t>
      </w:r>
      <w:proofErr w:type="spellStart"/>
      <w:r>
        <w:t>SCells</w:t>
      </w:r>
      <w:proofErr w:type="spellEnd"/>
      <w:r>
        <w:t>. Given that we are defining a new DCI interpretation we should try to achieve (ii)</w:t>
      </w:r>
      <w:r w:rsidR="0003708A">
        <w:t xml:space="preserve"> that can also support (</w:t>
      </w:r>
      <w:proofErr w:type="spellStart"/>
      <w:r w:rsidR="0003708A">
        <w:t>i</w:t>
      </w:r>
      <w:proofErr w:type="spellEnd"/>
      <w:r w:rsidR="0003708A">
        <w:t>)</w:t>
      </w:r>
      <w:r>
        <w:t>. For this, some of the unused DCI fields can carry the “</w:t>
      </w:r>
      <w:proofErr w:type="spellStart"/>
      <w:r>
        <w:t>SCell</w:t>
      </w:r>
      <w:proofErr w:type="spellEnd"/>
      <w:r>
        <w:t xml:space="preserve"> control bitmap” under the new interpretation. This bitmap can contain the BWP IDs for the target BWP that the </w:t>
      </w:r>
      <w:proofErr w:type="spellStart"/>
      <w:r>
        <w:t>SCells</w:t>
      </w:r>
      <w:proofErr w:type="spellEnd"/>
      <w:r>
        <w:t xml:space="preserve"> should go to. A binary indication per </w:t>
      </w:r>
      <w:proofErr w:type="spellStart"/>
      <w:r>
        <w:t>SCell</w:t>
      </w:r>
      <w:proofErr w:type="spellEnd"/>
      <w:r>
        <w:t xml:space="preserve"> can be given if the target BWP can be pre-configured. </w:t>
      </w:r>
      <w:r w:rsidR="00A27A8E">
        <w:t xml:space="preserve">In this example, if </w:t>
      </w:r>
      <w:r w:rsidR="00834334">
        <w:t xml:space="preserve">for the bitmap to signal the BWP ID for 8 </w:t>
      </w:r>
      <w:proofErr w:type="spellStart"/>
      <w:r w:rsidR="00834334">
        <w:t>SCells</w:t>
      </w:r>
      <w:proofErr w:type="spellEnd"/>
      <w:r w:rsidR="00834334">
        <w:t xml:space="preserve">, the bitmap size of 16 bits is needed, which should be able to fit within </w:t>
      </w:r>
      <w:r w:rsidR="00274EDE">
        <w:t xml:space="preserve">reclaimed field in an existing DCI. </w:t>
      </w:r>
      <w:r>
        <w:t>Additionally, UE is expected to send HARQ acknowledgement on the configured PUCCH resource associated with the DCI (</w:t>
      </w:r>
      <w:r w:rsidR="000C3CC2">
        <w:t>e.g.</w:t>
      </w:r>
      <w:r>
        <w:t xml:space="preserve"> Format 1-0</w:t>
      </w:r>
      <w:r w:rsidR="000C3CC2">
        <w:t xml:space="preserve"> and/or Format 1-1</w:t>
      </w:r>
      <w:r>
        <w:t>)</w:t>
      </w:r>
      <w:r w:rsidR="00477326">
        <w:t>.</w:t>
      </w:r>
    </w:p>
    <w:p w14:paraId="1DD68CDE" w14:textId="1E1A750D" w:rsidR="008A5CAF" w:rsidRDefault="00A90ACE" w:rsidP="006E3316">
      <w:r>
        <w:t xml:space="preserve">For signaling </w:t>
      </w:r>
      <w:proofErr w:type="spellStart"/>
      <w:r>
        <w:t>SCell</w:t>
      </w:r>
      <w:proofErr w:type="spellEnd"/>
      <w:r>
        <w:t xml:space="preserve"> activation with the new DCI interpretation, the </w:t>
      </w:r>
      <w:proofErr w:type="spellStart"/>
      <w:r>
        <w:t>SCell</w:t>
      </w:r>
      <w:proofErr w:type="spellEnd"/>
      <w:r>
        <w:t xml:space="preserve"> control bitmap can be similar to the bitmap in legacy </w:t>
      </w:r>
      <w:proofErr w:type="spellStart"/>
      <w:r>
        <w:t>SCell</w:t>
      </w:r>
      <w:proofErr w:type="spellEnd"/>
      <w:r>
        <w:t xml:space="preserve"> activation MAC-CE</w:t>
      </w:r>
      <w:r w:rsidR="00073635">
        <w:t xml:space="preserve">; Additional bit(s) may be added per </w:t>
      </w:r>
      <w:proofErr w:type="spellStart"/>
      <w:r w:rsidR="00073635">
        <w:t>SCell</w:t>
      </w:r>
      <w:proofErr w:type="spellEnd"/>
      <w:r w:rsidR="00073635">
        <w:t xml:space="preserve"> for A-CSI trigger information</w:t>
      </w:r>
      <w:r>
        <w:t xml:space="preserve">. An additional identifier can indication which of the functionality (either for </w:t>
      </w:r>
      <w:proofErr w:type="spellStart"/>
      <w:r>
        <w:t>SCell</w:t>
      </w:r>
      <w:proofErr w:type="spellEnd"/>
      <w:r>
        <w:t xml:space="preserve"> activation or cross-carrier BWP switching) should be used.</w:t>
      </w:r>
    </w:p>
    <w:p w14:paraId="4DF6AB65" w14:textId="7353DA92" w:rsidR="00477326" w:rsidRPr="006E3316" w:rsidRDefault="004636FB" w:rsidP="00AB7C54">
      <w:pPr>
        <w:pStyle w:val="Caption"/>
      </w:pPr>
      <w:bookmarkStart w:id="27" w:name="_Toc16865499"/>
      <w:r>
        <w:t xml:space="preserve">Proposal </w:t>
      </w:r>
      <w:fldSimple w:instr=" SEQ Proposal \* ARABIC ">
        <w:r w:rsidR="00FB0BB0">
          <w:rPr>
            <w:noProof/>
          </w:rPr>
          <w:t>7</w:t>
        </w:r>
      </w:fldSimple>
      <w:r>
        <w:t xml:space="preserve">: </w:t>
      </w:r>
      <w:r w:rsidR="00615424">
        <w:t xml:space="preserve">New </w:t>
      </w:r>
      <w:r w:rsidR="00F35624">
        <w:t xml:space="preserve">DCI </w:t>
      </w:r>
      <w:r w:rsidR="00615424">
        <w:t xml:space="preserve">information </w:t>
      </w:r>
      <w:r w:rsidR="000D6752">
        <w:t xml:space="preserve">to trigger </w:t>
      </w:r>
      <w:r w:rsidR="006F6A30">
        <w:t xml:space="preserve">BWP switch from dormant BWP on </w:t>
      </w:r>
      <w:proofErr w:type="spellStart"/>
      <w:r w:rsidR="006F6A30">
        <w:t>SCell</w:t>
      </w:r>
      <w:proofErr w:type="spellEnd"/>
      <w:r w:rsidR="006F6A30">
        <w:t xml:space="preserve"> and/or </w:t>
      </w:r>
      <w:r w:rsidR="000D6752">
        <w:t xml:space="preserve">fast </w:t>
      </w:r>
      <w:proofErr w:type="spellStart"/>
      <w:r w:rsidR="000D6752">
        <w:t>SCell</w:t>
      </w:r>
      <w:proofErr w:type="spellEnd"/>
      <w:r w:rsidR="000D6752">
        <w:t xml:space="preserve"> activation </w:t>
      </w:r>
      <w:r w:rsidR="00B54E8B">
        <w:t xml:space="preserve">should be based on reusing </w:t>
      </w:r>
      <w:r w:rsidR="00437685">
        <w:t>a</w:t>
      </w:r>
      <w:r w:rsidR="00F40625">
        <w:t xml:space="preserve">n existing </w:t>
      </w:r>
      <w:r w:rsidR="00437685">
        <w:t xml:space="preserve">DCI </w:t>
      </w:r>
      <w:r w:rsidR="006546E7">
        <w:t>of C-RNTI</w:t>
      </w:r>
      <w:r w:rsidR="005908BF">
        <w:t xml:space="preserve"> that the UE is expected to monitor for DL scheduling</w:t>
      </w:r>
      <w:r w:rsidR="00F464CD">
        <w:t xml:space="preserve">, but with special </w:t>
      </w:r>
      <w:r w:rsidR="002E3892">
        <w:t>value</w:t>
      </w:r>
      <w:r w:rsidR="00E13B43">
        <w:t>s</w:t>
      </w:r>
      <w:r w:rsidR="002E3892">
        <w:t xml:space="preserve"> in </w:t>
      </w:r>
      <w:r w:rsidR="00E13B43">
        <w:t xml:space="preserve">one or more </w:t>
      </w:r>
      <w:r w:rsidR="002E3892">
        <w:t>existing fields to allow reinterpreting other field</w:t>
      </w:r>
      <w:r w:rsidR="00FA1317">
        <w:t>(</w:t>
      </w:r>
      <w:r w:rsidR="002E3892">
        <w:t>s</w:t>
      </w:r>
      <w:r w:rsidR="00FA1317">
        <w:t>)</w:t>
      </w:r>
      <w:r w:rsidR="002E3892">
        <w:t xml:space="preserve"> </w:t>
      </w:r>
      <w:r w:rsidR="00FA1317">
        <w:t xml:space="preserve">as containing the </w:t>
      </w:r>
      <w:r w:rsidR="002E3892">
        <w:t>new information.</w:t>
      </w:r>
      <w:r w:rsidR="007F0F2A">
        <w:t xml:space="preserve"> UE is expected to send acknowledgement based on the HARQ-ACK </w:t>
      </w:r>
      <w:r w:rsidR="005D5C7D">
        <w:t>resource</w:t>
      </w:r>
      <w:r w:rsidR="007F0F2A">
        <w:t xml:space="preserve"> </w:t>
      </w:r>
      <w:r w:rsidR="005D5C7D">
        <w:t xml:space="preserve">indicated </w:t>
      </w:r>
      <w:r w:rsidR="00CD7135">
        <w:t xml:space="preserve">by </w:t>
      </w:r>
      <w:r w:rsidR="007F0F2A">
        <w:t>the DCI.</w:t>
      </w:r>
      <w:bookmarkEnd w:id="27"/>
    </w:p>
    <w:p w14:paraId="2F493CBC" w14:textId="77777777" w:rsidR="0033483E" w:rsidRPr="000307E8" w:rsidRDefault="0033483E" w:rsidP="000307E8"/>
    <w:p w14:paraId="7C1FF762" w14:textId="027E26B4" w:rsidR="000307E8" w:rsidRPr="000307E8" w:rsidRDefault="0055353A" w:rsidP="000307E8">
      <w:pPr>
        <w:keepNext/>
        <w:keepLines/>
        <w:numPr>
          <w:ilvl w:val="1"/>
          <w:numId w:val="2"/>
        </w:numPr>
        <w:spacing w:before="180"/>
        <w:outlineLvl w:val="1"/>
        <w:rPr>
          <w:rFonts w:ascii="Arial" w:hAnsi="Arial"/>
          <w:sz w:val="32"/>
          <w:lang w:val="en-GB"/>
        </w:rPr>
      </w:pPr>
      <w:r>
        <w:rPr>
          <w:rFonts w:ascii="Arial" w:hAnsi="Arial"/>
          <w:sz w:val="32"/>
          <w:lang w:val="en-GB"/>
        </w:rPr>
        <w:t>SCG RACH Procedure</w:t>
      </w:r>
      <w:r w:rsidR="000307E8" w:rsidRPr="000307E8">
        <w:rPr>
          <w:rFonts w:ascii="Arial" w:hAnsi="Arial"/>
          <w:sz w:val="32"/>
          <w:lang w:val="en-GB"/>
        </w:rPr>
        <w:t xml:space="preserve"> Latency Reduction</w:t>
      </w:r>
    </w:p>
    <w:p w14:paraId="7162579F" w14:textId="77777777"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lastRenderedPageBreak/>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28" w:name="_Hlk534898345"/>
      <w:r w:rsidRPr="000307E8">
        <w:rPr>
          <w:bCs/>
        </w:rPr>
        <w:t>o</w:t>
      </w:r>
      <w:r w:rsidRPr="000307E8">
        <w:rPr>
          <w:bCs/>
        </w:rPr>
        <w:tab/>
      </w:r>
      <w:bookmarkEnd w:id="28"/>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2BEEBA92" w:rsid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00784CA8" w14:textId="40BA8B7E" w:rsidR="00667295" w:rsidRPr="000307E8" w:rsidRDefault="00667295" w:rsidP="00AB7C54">
      <w:pPr>
        <w:pStyle w:val="Caption"/>
      </w:pPr>
      <w:bookmarkStart w:id="29" w:name="_Toc16865500"/>
      <w:r>
        <w:t xml:space="preserve">Proposal </w:t>
      </w:r>
      <w:fldSimple w:instr=" SEQ Proposal \* ARABIC ">
        <w:r w:rsidR="00FB0BB0">
          <w:rPr>
            <w:noProof/>
          </w:rPr>
          <w:t>8</w:t>
        </w:r>
      </w:fldSimple>
      <w:r>
        <w:t>: Consider latency reduction mechanisms</w:t>
      </w:r>
      <w:r w:rsidRPr="000307E8">
        <w:t xml:space="preserve"> </w:t>
      </w:r>
      <w:r>
        <w:t>for RACH procedure on SCG, including both CBRA and CFRA.</w:t>
      </w:r>
      <w:bookmarkEnd w:id="29"/>
    </w:p>
    <w:p w14:paraId="225D6A18" w14:textId="77777777" w:rsidR="000307E8" w:rsidRPr="000307E8" w:rsidRDefault="000307E8" w:rsidP="000307E8"/>
    <w:p w14:paraId="74BBD456" w14:textId="77777777" w:rsidR="000307E8" w:rsidRPr="000307E8" w:rsidRDefault="000307E8" w:rsidP="000307E8">
      <w:r w:rsidRPr="000307E8">
        <w:rPr>
          <w:noProof/>
        </w:rPr>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66DFFC2D" w:rsidR="000307E8" w:rsidRPr="000307E8" w:rsidRDefault="000307E8" w:rsidP="000307E8">
      <w:pPr>
        <w:spacing w:before="120" w:after="120"/>
        <w:jc w:val="center"/>
        <w:rPr>
          <w:bCs/>
          <w:i/>
          <w:szCs w:val="22"/>
          <w:lang w:eastAsia="zh-CN"/>
        </w:rPr>
      </w:pPr>
      <w:bookmarkStart w:id="30" w:name="_Ref525819517"/>
      <w:bookmarkStart w:id="31"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FB0BB0">
        <w:rPr>
          <w:b/>
          <w:bCs/>
          <w:noProof/>
          <w:szCs w:val="22"/>
        </w:rPr>
        <w:t>4</w:t>
      </w:r>
      <w:r w:rsidRPr="000307E8">
        <w:rPr>
          <w:bCs/>
          <w:i/>
          <w:szCs w:val="22"/>
        </w:rPr>
        <w:fldChar w:fldCharType="end"/>
      </w:r>
      <w:bookmarkEnd w:id="30"/>
      <w:r w:rsidRPr="000307E8">
        <w:rPr>
          <w:b/>
          <w:bCs/>
          <w:szCs w:val="22"/>
        </w:rPr>
        <w:t>: DC scenarios with NR as SCG</w:t>
      </w:r>
    </w:p>
    <w:bookmarkEnd w:id="31"/>
    <w:p w14:paraId="2FDB9E65" w14:textId="77777777" w:rsidR="000307E8" w:rsidRPr="000307E8" w:rsidRDefault="000307E8" w:rsidP="000307E8"/>
    <w:p w14:paraId="17585FFD" w14:textId="77777777" w:rsidR="000307E8" w:rsidRPr="000307E8" w:rsidRDefault="000307E8" w:rsidP="000307E8">
      <w:pPr>
        <w:keepNext/>
        <w:keepLines/>
        <w:numPr>
          <w:ilvl w:val="1"/>
          <w:numId w:val="2"/>
        </w:numPr>
        <w:spacing w:before="180"/>
        <w:outlineLvl w:val="1"/>
        <w:rPr>
          <w:rFonts w:ascii="Arial" w:hAnsi="Arial"/>
          <w:sz w:val="32"/>
          <w:lang w:val="en-GB"/>
        </w:rPr>
      </w:pPr>
      <w:r w:rsidRPr="000307E8">
        <w:rPr>
          <w:rFonts w:ascii="Arial" w:hAnsi="Arial"/>
          <w:sz w:val="32"/>
          <w:lang w:val="en-GB"/>
        </w:rPr>
        <w:t>CSI-RS Resource Repetition for Mobility</w:t>
      </w:r>
    </w:p>
    <w:p w14:paraId="34671CFA" w14:textId="0C8B321D"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30" type="#_x0000_t75" style="width:6in;height:150.9pt" o:ole="">
            <v:imagedata r:id="rId23" o:title=""/>
          </v:shape>
          <o:OLEObject Type="Embed" ProgID="Visio.Drawing.11" ShapeID="_x0000_i1030" DrawAspect="Content" ObjectID="_1627480178" r:id="rId24"/>
        </w:object>
      </w:r>
    </w:p>
    <w:p w14:paraId="6D06F458" w14:textId="09AF2216"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FB0BB0">
        <w:rPr>
          <w:b/>
          <w:bCs/>
          <w:noProof/>
          <w:szCs w:val="22"/>
        </w:rPr>
        <w:t>5</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70D4F164" w:rsidR="000307E8" w:rsidRDefault="000307E8" w:rsidP="000307E8">
      <w:r w:rsidRPr="000307E8">
        <w:t>However, according to</w:t>
      </w:r>
      <w:r w:rsidR="001C1DD6" w:rsidRPr="001C1DD6">
        <w:t xml:space="preserve"> </w:t>
      </w:r>
      <w:r w:rsidR="00792DD5">
        <w:t>TS 38.331</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3DD2842D" w14:textId="52974578" w:rsidR="00814A12" w:rsidRDefault="00814A12" w:rsidP="00AB7C54">
      <w:pPr>
        <w:pStyle w:val="Caption"/>
      </w:pPr>
      <w:bookmarkStart w:id="32" w:name="_Toc16865501"/>
      <w:r>
        <w:t xml:space="preserve">Proposal </w:t>
      </w:r>
      <w:fldSimple w:instr=" SEQ Proposal \* ARABIC ">
        <w:r w:rsidR="00FB0BB0">
          <w:rPr>
            <w:noProof/>
          </w:rPr>
          <w:t>9</w:t>
        </w:r>
      </w:fldSimple>
      <w:r>
        <w:t xml:space="preserve">: </w:t>
      </w:r>
      <w:r w:rsidRPr="008B1E83">
        <w:t>Support repetition of CSI-RS for mobility.</w:t>
      </w:r>
      <w:bookmarkEnd w:id="32"/>
      <w:r>
        <w:t xml:space="preserve"> </w:t>
      </w:r>
    </w:p>
    <w:p w14:paraId="2C959F63" w14:textId="77777777" w:rsidR="00667295" w:rsidRDefault="00667295" w:rsidP="00A74FCF">
      <w:pPr>
        <w:spacing w:before="120" w:after="120"/>
        <w:rPr>
          <w:bCs/>
        </w:rPr>
      </w:pPr>
    </w:p>
    <w:p w14:paraId="16CFBAF1" w14:textId="64614D05" w:rsidR="00E4038C" w:rsidRDefault="00E4038C" w:rsidP="00387D4C">
      <w:pPr>
        <w:pStyle w:val="Heading1"/>
        <w:rPr>
          <w:lang w:eastAsia="zh-CN"/>
        </w:rPr>
      </w:pPr>
      <w:bookmarkStart w:id="33" w:name="_Toc503314554"/>
      <w:bookmarkStart w:id="34" w:name="_Toc503531337"/>
      <w:bookmarkEnd w:id="33"/>
      <w:bookmarkEnd w:id="34"/>
      <w:r w:rsidRPr="00C227E3">
        <w:t>Conclusion</w:t>
      </w:r>
    </w:p>
    <w:p w14:paraId="4A7CCD54" w14:textId="177D619E" w:rsidR="00AF5673" w:rsidRDefault="0088318A" w:rsidP="00AF5673">
      <w:pPr>
        <w:spacing w:after="120"/>
      </w:pPr>
      <w:r>
        <w:t>In this contribution, t</w:t>
      </w:r>
      <w:r w:rsidR="007B645F">
        <w:t>he following</w:t>
      </w:r>
      <w:r w:rsidR="00EC3500">
        <w:t xml:space="preserve"> </w:t>
      </w:r>
      <w:r w:rsidR="00814A12">
        <w:t xml:space="preserve">observations and </w:t>
      </w:r>
      <w:r w:rsidR="007B645F">
        <w:t>proposals have been made</w:t>
      </w:r>
      <w:r w:rsidR="00D20DBB">
        <w:t>.</w:t>
      </w:r>
    </w:p>
    <w:p w14:paraId="30B3FED1" w14:textId="56FE36C0" w:rsidR="005E3C22" w:rsidRDefault="00814A12">
      <w:pPr>
        <w:pStyle w:val="TableofFigures"/>
        <w:tabs>
          <w:tab w:val="right" w:leader="dot" w:pos="9628"/>
        </w:tabs>
        <w:rPr>
          <w:rFonts w:asciiTheme="minorHAnsi" w:eastAsiaTheme="minorEastAsia" w:hAnsiTheme="minorHAnsi" w:cstheme="minorBidi"/>
          <w:noProof/>
          <w:sz w:val="22"/>
          <w:szCs w:val="22"/>
          <w:lang w:eastAsia="zh-CN"/>
        </w:rPr>
      </w:pPr>
      <w:r>
        <w:fldChar w:fldCharType="begin"/>
      </w:r>
      <w:r>
        <w:instrText xml:space="preserve"> TOC \n \h \z \c "Observation" </w:instrText>
      </w:r>
      <w:r>
        <w:fldChar w:fldCharType="separate"/>
      </w:r>
      <w:hyperlink w:anchor="_Toc16865491" w:history="1">
        <w:r w:rsidR="005E3C22" w:rsidRPr="008F0FDC">
          <w:rPr>
            <w:rStyle w:val="Hyperlink"/>
            <w:noProof/>
          </w:rPr>
          <w:t>Observation 1: In NR, AGC, initial CQI warm up, beam management and MIB reading can be all performed based on SSB monitoring.</w:t>
        </w:r>
      </w:hyperlink>
    </w:p>
    <w:p w14:paraId="044359CB" w14:textId="6F9CD5A2"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2" w:history="1">
        <w:r w:rsidRPr="008F0FDC">
          <w:rPr>
            <w:rStyle w:val="Hyperlink"/>
            <w:noProof/>
          </w:rPr>
          <w:t>Observation 2: Not monitoring PDCCH on SCell is a necessary but not a sufficient condition for improving SCell energy efficiency. Other periodic activities including CSI measurement and reporting, beam management, and/or RRM may still be performed at much reduced duty cycle. There is tradeoff between minimizing SCell power consumption level and maintaining sufficient state information about the SCell such that UE can very quickly return to SCell utilization when traffic arrives.</w:t>
        </w:r>
      </w:hyperlink>
    </w:p>
    <w:p w14:paraId="4016A8AA" w14:textId="160AA04A" w:rsidR="00814A12" w:rsidRDefault="00814A12" w:rsidP="00AF5673">
      <w:pPr>
        <w:spacing w:after="120"/>
      </w:pPr>
      <w:r>
        <w:fldChar w:fldCharType="end"/>
      </w:r>
    </w:p>
    <w:p w14:paraId="063419ED" w14:textId="3B2EDFFF" w:rsidR="005E3C22" w:rsidRDefault="009C3A3A">
      <w:pPr>
        <w:pStyle w:val="TableofFigures"/>
        <w:tabs>
          <w:tab w:val="right" w:leader="dot" w:pos="9628"/>
        </w:tabs>
        <w:rPr>
          <w:rFonts w:asciiTheme="minorHAnsi" w:eastAsiaTheme="minorEastAsia" w:hAnsiTheme="minorHAnsi" w:cstheme="minorBidi"/>
          <w:noProof/>
          <w:sz w:val="22"/>
          <w:szCs w:val="22"/>
          <w:lang w:eastAsia="zh-CN"/>
        </w:rPr>
      </w:pPr>
      <w:r>
        <w:fldChar w:fldCharType="begin"/>
      </w:r>
      <w:r>
        <w:instrText xml:space="preserve"> TOC \n \h \z \c "Proposal" </w:instrText>
      </w:r>
      <w:r>
        <w:fldChar w:fldCharType="separate"/>
      </w:r>
      <w:hyperlink w:anchor="_Toc16865493" w:history="1">
        <w:r w:rsidR="005E3C22" w:rsidRPr="00444B0C">
          <w:rPr>
            <w:rStyle w:val="Hyperlink"/>
            <w:noProof/>
          </w:rPr>
          <w:t>Proposal 1: A-TRS/CSI triggering from SCell activation command should be supported in Rel-16 to greatly reduce SCell activation time.</w:t>
        </w:r>
      </w:hyperlink>
    </w:p>
    <w:p w14:paraId="17D35412" w14:textId="01AD6154"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4" w:history="1">
        <w:r w:rsidRPr="00444B0C">
          <w:rPr>
            <w:rStyle w:val="Hyperlink"/>
            <w:noProof/>
          </w:rPr>
          <w:t>Proposal 2: DCI-based signaling for SCell activation/deactivation should be supported in Rel-16, if other enhancements are also adopted to greatly reduce the overall activation timeline compared to Rel-15.</w:t>
        </w:r>
      </w:hyperlink>
    </w:p>
    <w:p w14:paraId="214CE825" w14:textId="64109A4B"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5" w:history="1">
        <w:r w:rsidRPr="00444B0C">
          <w:rPr>
            <w:rStyle w:val="Hyperlink"/>
            <w:noProof/>
          </w:rPr>
          <w:t>Proposal 3: “Dormancy” behavior can be supported in NR, i.e. the UE can be configured to measure SSB with a separate SMTC monitoring cycle for AGC, initial CQI warm up, beam management and MIB reading when no PDCCH/PDSCH is expected, to achieve good trade-off between latency reduction for return to SCell utilization and UE power consumption.</w:t>
        </w:r>
      </w:hyperlink>
    </w:p>
    <w:p w14:paraId="1E72905C" w14:textId="40039682"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6" w:history="1">
        <w:r w:rsidRPr="00444B0C">
          <w:rPr>
            <w:rStyle w:val="Hyperlink"/>
            <w:noProof/>
          </w:rPr>
          <w:t>Proposal 4: In NR, “dormancy” behavior for a SCell can be supported by configuring a particular BWP without PDCCH/PDSCH monitoring as the dormant BWP for the SCell.</w:t>
        </w:r>
      </w:hyperlink>
    </w:p>
    <w:p w14:paraId="2C18E6C0" w14:textId="145A0C18"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7" w:history="1">
        <w:r w:rsidRPr="00444B0C">
          <w:rPr>
            <w:rStyle w:val="Hyperlink"/>
            <w:noProof/>
          </w:rPr>
          <w:t>Proposal 5: RAN1 supports dormant BWP and specifies the required new DCI signaling and/or BWP switching behavior for dormant BWP on SCell in association with the PCell.</w:t>
        </w:r>
      </w:hyperlink>
    </w:p>
    <w:p w14:paraId="5259189C" w14:textId="44DD1794"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8" w:history="1">
        <w:r w:rsidRPr="00444B0C">
          <w:rPr>
            <w:rStyle w:val="Hyperlink"/>
            <w:noProof/>
          </w:rPr>
          <w:t>Proposal 6: Semi-persistent search space configuration based on DCI-signaling can be considered as an alternative to support fast transitioning in and out of SCell “dormancy” behavior.</w:t>
        </w:r>
      </w:hyperlink>
    </w:p>
    <w:p w14:paraId="3F11EFBD" w14:textId="1D2C34FC"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499" w:history="1">
        <w:r w:rsidRPr="00444B0C">
          <w:rPr>
            <w:rStyle w:val="Hyperlink"/>
            <w:noProof/>
          </w:rPr>
          <w:t>Proposal 7: New DCI information to trigger BWP switch from dormant BWP on SCell and/or fast SCell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hyperlink>
    </w:p>
    <w:p w14:paraId="2E27020C" w14:textId="52C0A8D9"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500" w:history="1">
        <w:r w:rsidRPr="00444B0C">
          <w:rPr>
            <w:rStyle w:val="Hyperlink"/>
            <w:noProof/>
          </w:rPr>
          <w:t>Proposal 8: Consider latency reduction mechanisms for RACH procedure on SCG, including both CBRA and CFRA.</w:t>
        </w:r>
      </w:hyperlink>
    </w:p>
    <w:p w14:paraId="29865EC7" w14:textId="444361C2" w:rsidR="005E3C22" w:rsidRDefault="005E3C22">
      <w:pPr>
        <w:pStyle w:val="TableofFigures"/>
        <w:tabs>
          <w:tab w:val="right" w:leader="dot" w:pos="9628"/>
        </w:tabs>
        <w:rPr>
          <w:rFonts w:asciiTheme="minorHAnsi" w:eastAsiaTheme="minorEastAsia" w:hAnsiTheme="minorHAnsi" w:cstheme="minorBidi"/>
          <w:noProof/>
          <w:sz w:val="22"/>
          <w:szCs w:val="22"/>
          <w:lang w:eastAsia="zh-CN"/>
        </w:rPr>
      </w:pPr>
      <w:hyperlink w:anchor="_Toc16865501" w:history="1">
        <w:r w:rsidRPr="00444B0C">
          <w:rPr>
            <w:rStyle w:val="Hyperlink"/>
            <w:noProof/>
          </w:rPr>
          <w:t>Proposal 9: Support repetition of CSI-RS for mobility.</w:t>
        </w:r>
      </w:hyperlink>
    </w:p>
    <w:p w14:paraId="6236B0A2" w14:textId="45952834" w:rsidR="009C3A3A" w:rsidRDefault="009C3A3A" w:rsidP="00AF5673">
      <w:pPr>
        <w:spacing w:after="120"/>
      </w:pPr>
      <w:r>
        <w:fldChar w:fldCharType="end"/>
      </w:r>
    </w:p>
    <w:p w14:paraId="100E5DD8" w14:textId="372C8C66" w:rsidR="00387D4C" w:rsidRDefault="00387D4C" w:rsidP="00387D4C">
      <w:pPr>
        <w:pStyle w:val="Heading1"/>
      </w:pPr>
      <w:r>
        <w:t>References</w:t>
      </w:r>
    </w:p>
    <w:p w14:paraId="219F1A5B" w14:textId="59C3CA56" w:rsidR="000C65AB" w:rsidRDefault="000C65AB" w:rsidP="000C65AB">
      <w:pPr>
        <w:numPr>
          <w:ilvl w:val="0"/>
          <w:numId w:val="48"/>
        </w:numPr>
        <w:spacing w:after="120"/>
        <w:textAlignment w:val="auto"/>
      </w:pPr>
      <w:bookmarkStart w:id="35" w:name="_Ref525936700"/>
      <w:r w:rsidRPr="00B30F45">
        <w:t>R2-1714289, “</w:t>
      </w:r>
      <w:r w:rsidRPr="00B30F45">
        <w:rPr>
          <w:noProof/>
        </w:rPr>
        <w:t>Running CR for euCA Stage-2”</w:t>
      </w:r>
      <w:bookmarkEnd w:id="35"/>
    </w:p>
    <w:p w14:paraId="4736339D" w14:textId="6C915711" w:rsidR="00F041BF" w:rsidRDefault="00846BFF" w:rsidP="000C65AB">
      <w:pPr>
        <w:numPr>
          <w:ilvl w:val="0"/>
          <w:numId w:val="48"/>
        </w:numPr>
        <w:spacing w:after="120"/>
        <w:textAlignment w:val="auto"/>
      </w:pPr>
      <w:bookmarkStart w:id="36" w:name="_Ref534965540"/>
      <w:r w:rsidRPr="00846BFF">
        <w:t>R1-1903016</w:t>
      </w:r>
      <w:r w:rsidR="00F041BF">
        <w:t>, “</w:t>
      </w:r>
      <w:r w:rsidRPr="00846BFF">
        <w:t>Potential Techniques for UE Power Saving</w:t>
      </w:r>
      <w:r w:rsidR="00F041BF">
        <w:t>”, RAN1</w:t>
      </w:r>
      <w:r>
        <w:t>#96</w:t>
      </w:r>
      <w:r w:rsidR="00F041BF">
        <w:t>, Qualcomm.</w:t>
      </w:r>
      <w:bookmarkEnd w:id="36"/>
    </w:p>
    <w:p w14:paraId="1EC60C68" w14:textId="734B5891" w:rsidR="00792DD5" w:rsidRDefault="000E5996" w:rsidP="000C65AB">
      <w:pPr>
        <w:numPr>
          <w:ilvl w:val="0"/>
          <w:numId w:val="48"/>
        </w:numPr>
        <w:spacing w:after="120"/>
        <w:textAlignment w:val="auto"/>
      </w:pPr>
      <w:bookmarkStart w:id="37" w:name="_Ref4756395"/>
      <w:r w:rsidRPr="000E5996">
        <w:t>R2-190</w:t>
      </w:r>
      <w:r w:rsidR="00C929FD">
        <w:t>8684</w:t>
      </w:r>
      <w:r w:rsidR="0094072C">
        <w:t>, “</w:t>
      </w:r>
      <w:r w:rsidR="00CD5B70" w:rsidRPr="00CD5B70">
        <w:t xml:space="preserve">Discussion on fast </w:t>
      </w:r>
      <w:proofErr w:type="spellStart"/>
      <w:r w:rsidR="00CD5B70" w:rsidRPr="00CD5B70">
        <w:t>SCell</w:t>
      </w:r>
      <w:proofErr w:type="spellEnd"/>
      <w:r w:rsidR="00CD5B70" w:rsidRPr="00CD5B70">
        <w:t xml:space="preserve"> activation based on measurements prior to activation in NR</w:t>
      </w:r>
      <w:r w:rsidR="0094072C">
        <w:t>”</w:t>
      </w:r>
      <w:r w:rsidR="00CD5B70">
        <w:t>, RAN2 #</w:t>
      </w:r>
      <w:r>
        <w:t>10</w:t>
      </w:r>
      <w:r w:rsidR="00A90F82">
        <w:t>7</w:t>
      </w:r>
      <w:r w:rsidR="00D95604">
        <w:t xml:space="preserve">, </w:t>
      </w:r>
      <w:r w:rsidR="00160CEF" w:rsidRPr="00160CEF">
        <w:t>Qualcomm, Verizon, Sprint, Charter Communications</w:t>
      </w:r>
      <w:bookmarkEnd w:id="37"/>
      <w:r>
        <w:t>, Vodafone</w:t>
      </w:r>
    </w:p>
    <w:p w14:paraId="35CEFD06" w14:textId="43EFFE47" w:rsidR="00160CEF" w:rsidRDefault="000E5996" w:rsidP="000C65AB">
      <w:pPr>
        <w:numPr>
          <w:ilvl w:val="0"/>
          <w:numId w:val="48"/>
        </w:numPr>
        <w:spacing w:after="120"/>
        <w:textAlignment w:val="auto"/>
      </w:pPr>
      <w:bookmarkStart w:id="38" w:name="_Ref4756397"/>
      <w:r w:rsidRPr="000E5996">
        <w:t>R2-190</w:t>
      </w:r>
      <w:r w:rsidR="00FD702D">
        <w:t>8686</w:t>
      </w:r>
      <w:r w:rsidR="00160CEF">
        <w:t>, “</w:t>
      </w:r>
      <w:r w:rsidR="00A531EA" w:rsidRPr="00A531EA">
        <w:t xml:space="preserve">Discussion on fast </w:t>
      </w:r>
      <w:proofErr w:type="spellStart"/>
      <w:r w:rsidR="00A531EA" w:rsidRPr="00A531EA">
        <w:t>SCell</w:t>
      </w:r>
      <w:proofErr w:type="spellEnd"/>
      <w:r w:rsidR="00A531EA" w:rsidRPr="00A531EA">
        <w:t xml:space="preserve"> activation based on Aperiodic TRS (A-TRS)</w:t>
      </w:r>
      <w:r w:rsidR="00160CEF">
        <w:t>”</w:t>
      </w:r>
      <w:r w:rsidR="00A531EA">
        <w:t>, RAN2 #</w:t>
      </w:r>
      <w:r>
        <w:t>10</w:t>
      </w:r>
      <w:r w:rsidR="008E1282">
        <w:t>7</w:t>
      </w:r>
      <w:r w:rsidR="00A531EA">
        <w:t xml:space="preserve">, </w:t>
      </w:r>
      <w:r w:rsidR="00A531EA" w:rsidRPr="00160CEF">
        <w:t>Qualcomm</w:t>
      </w:r>
      <w:r w:rsidR="00A531EA">
        <w:t>.</w:t>
      </w:r>
      <w:bookmarkEnd w:id="38"/>
    </w:p>
    <w:p w14:paraId="68FAC401" w14:textId="456B7C6A" w:rsidR="001B1DDF" w:rsidRDefault="00141877" w:rsidP="000C65AB">
      <w:pPr>
        <w:numPr>
          <w:ilvl w:val="0"/>
          <w:numId w:val="48"/>
        </w:numPr>
        <w:spacing w:after="120"/>
        <w:textAlignment w:val="auto"/>
      </w:pPr>
      <w:bookmarkStart w:id="39" w:name="_Ref16778359"/>
      <w:r w:rsidRPr="00141877">
        <w:t>R1-1908003(R2-1908483)</w:t>
      </w:r>
      <w:r>
        <w:t>, “</w:t>
      </w:r>
      <w:r w:rsidR="00123B1C" w:rsidRPr="00123B1C">
        <w:t xml:space="preserve">LS on NR fast </w:t>
      </w:r>
      <w:proofErr w:type="spellStart"/>
      <w:r w:rsidR="00123B1C" w:rsidRPr="00123B1C">
        <w:t>SCell</w:t>
      </w:r>
      <w:proofErr w:type="spellEnd"/>
      <w:r w:rsidR="00123B1C" w:rsidRPr="00123B1C">
        <w:t xml:space="preserve"> activation</w:t>
      </w:r>
      <w:r>
        <w:t>”</w:t>
      </w:r>
      <w:r w:rsidR="00914820">
        <w:t>.</w:t>
      </w:r>
      <w:bookmarkEnd w:id="39"/>
    </w:p>
    <w:p w14:paraId="37665F00" w14:textId="04C6FFA1" w:rsidR="00850AAF" w:rsidRDefault="00850AAF" w:rsidP="00850AAF"/>
    <w:p w14:paraId="61496A99" w14:textId="7D7CED9F" w:rsidR="00C361AB" w:rsidRDefault="00C361AB" w:rsidP="00C361AB">
      <w:pPr>
        <w:pStyle w:val="Heading1"/>
      </w:pPr>
      <w:r>
        <w:t>Appendix</w:t>
      </w:r>
    </w:p>
    <w:p w14:paraId="3CB4E060" w14:textId="6ACE72CC" w:rsidR="00C361AB" w:rsidRDefault="00C361AB" w:rsidP="00C361AB">
      <w:pPr>
        <w:pStyle w:val="Heading2"/>
      </w:pPr>
      <w:bookmarkStart w:id="40" w:name="_Ref4743812"/>
      <w:r>
        <w:t xml:space="preserve">Detailed Rel-15 </w:t>
      </w:r>
      <w:proofErr w:type="spellStart"/>
      <w:r>
        <w:t>SCell</w:t>
      </w:r>
      <w:proofErr w:type="spellEnd"/>
      <w:r>
        <w:t xml:space="preserve"> activation timeline example</w:t>
      </w:r>
      <w:bookmarkEnd w:id="40"/>
    </w:p>
    <w:p w14:paraId="35A5E2ED" w14:textId="19C7E100" w:rsidR="0033483E" w:rsidRDefault="0033483E" w:rsidP="0033483E">
      <w:r>
        <w:t xml:space="preserve">In TS 38.133, it is specified the following requirements of NR </w:t>
      </w:r>
      <w:proofErr w:type="spellStart"/>
      <w:r>
        <w:t>SCell</w:t>
      </w:r>
      <w:proofErr w:type="spellEnd"/>
      <w:r>
        <w:t xml:space="preserve"> activation latency:</w:t>
      </w:r>
    </w:p>
    <w:p w14:paraId="37FF7D2F" w14:textId="77777777" w:rsidR="0033483E" w:rsidRPr="0067707E" w:rsidRDefault="0033483E" w:rsidP="0033483E">
      <w:pPr>
        <w:rPr>
          <w:i/>
          <w:lang w:val="fi-FI" w:eastAsia="fi-FI"/>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 where:</w:t>
      </w:r>
    </w:p>
    <w:p w14:paraId="5F723ACE" w14:textId="77777777" w:rsidR="0033483E" w:rsidRPr="009C67B7"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HARQ</w:t>
      </w:r>
      <w:r w:rsidRPr="00245488">
        <w:t xml:space="preserve"> is</w:t>
      </w:r>
      <w:r>
        <w:rPr>
          <w:i/>
          <w:vertAlign w:val="subscript"/>
          <w:lang w:val="fi-FI" w:eastAsia="fi-FI"/>
        </w:rPr>
        <w:t xml:space="preserve"> </w:t>
      </w:r>
      <w:r>
        <w:rPr>
          <w:rStyle w:val="fontstyle01"/>
        </w:rPr>
        <w:t>the timing between DL data transmission and acknowledgement, shown in part k0, k1 and A in Figure 2.</w:t>
      </w:r>
    </w:p>
    <w:p w14:paraId="3C46DCA9" w14:textId="77777777" w:rsidR="0033483E" w:rsidRPr="00C828DA"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is the </w:t>
      </w:r>
      <w:proofErr w:type="spellStart"/>
      <w:r>
        <w:rPr>
          <w:rStyle w:val="fontstyle01"/>
        </w:rPr>
        <w:t>SCell</w:t>
      </w:r>
      <w:proofErr w:type="spellEnd"/>
      <w:r>
        <w:rPr>
          <w:rStyle w:val="fontstyle01"/>
        </w:rPr>
        <w:t xml:space="preserve"> activation latency, which depends on </w:t>
      </w:r>
      <w:r w:rsidRPr="00EE4A55">
        <w:rPr>
          <w:rStyle w:val="fontstyle01"/>
        </w:rPr>
        <w:t>several factors: (</w:t>
      </w:r>
      <w:proofErr w:type="spellStart"/>
      <w:r w:rsidRPr="00EE4A55">
        <w:rPr>
          <w:rStyle w:val="fontstyle01"/>
        </w:rPr>
        <w:t>i</w:t>
      </w:r>
      <w:proofErr w:type="spellEnd"/>
      <w:r w:rsidRPr="00EE4A55">
        <w:rPr>
          <w:rStyle w:val="fontstyle01"/>
        </w:rPr>
        <w:t xml:space="preserve">) is the </w:t>
      </w:r>
      <w:proofErr w:type="spellStart"/>
      <w:r w:rsidRPr="00EE4A55">
        <w:rPr>
          <w:rStyle w:val="fontstyle01"/>
        </w:rPr>
        <w:t>Scell</w:t>
      </w:r>
      <w:proofErr w:type="spellEnd"/>
      <w:r w:rsidRPr="00EE4A55">
        <w:rPr>
          <w:rStyle w:val="fontstyle01"/>
        </w:rPr>
        <w:t xml:space="preserve"> known or not (ii) is the </w:t>
      </w:r>
      <w:proofErr w:type="spellStart"/>
      <w:r w:rsidRPr="00EE4A55">
        <w:rPr>
          <w:rStyle w:val="fontstyle01"/>
        </w:rPr>
        <w:t>Scell</w:t>
      </w:r>
      <w:proofErr w:type="spellEnd"/>
      <w:r w:rsidRPr="00EE4A55">
        <w:rPr>
          <w:rStyle w:val="fontstyle01"/>
        </w:rPr>
        <w:t xml:space="preserve"> in FR1 or FR2 (iii) is SMTC smaller than 160ms or not.</w:t>
      </w:r>
      <w:r>
        <w:rPr>
          <w:rStyle w:val="fontstyle01"/>
        </w:rPr>
        <w:t xml:space="preserve"> For example:</w:t>
      </w:r>
    </w:p>
    <w:p w14:paraId="058C017C" w14:textId="77777777" w:rsidR="0033483E"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known in FR1 and </w:t>
      </w:r>
      <w:r w:rsidRPr="0020631B">
        <w:rPr>
          <w:lang w:val="fi-FI" w:eastAsia="fi-FI"/>
        </w:rPr>
        <w:t>the SCell measurement cycle is equal to or smaller than [160ms]</w:t>
      </w:r>
      <w:r>
        <w:rPr>
          <w:lang w:val="fi-FI" w:eastAsia="fi-FI"/>
        </w:rPr>
        <w:t xml:space="preserve">,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[3ms+T</w:t>
      </w:r>
      <w:r w:rsidRPr="00CE5DC4">
        <w:rPr>
          <w:vertAlign w:val="subscript"/>
          <w:lang w:val="fi-FI" w:eastAsia="fi-FI"/>
        </w:rPr>
        <w:t>SMTC_SCell</w:t>
      </w:r>
      <w:r w:rsidRPr="00E36979">
        <w:rPr>
          <w:lang w:val="fi-FI" w:eastAsia="fi-FI"/>
        </w:rPr>
        <w:t>+ 2ms]</w:t>
      </w:r>
      <w:r>
        <w:rPr>
          <w:lang w:val="fi-FI" w:eastAsia="fi-FI"/>
        </w:rPr>
        <w:t xml:space="preserve">. As shown in Figure 1, </w:t>
      </w:r>
    </w:p>
    <w:p w14:paraId="6721AD77" w14:textId="77777777" w:rsidR="0033483E" w:rsidRDefault="0033483E" w:rsidP="0033483E">
      <w:pPr>
        <w:numPr>
          <w:ilvl w:val="2"/>
          <w:numId w:val="51"/>
        </w:numPr>
        <w:textAlignment w:val="auto"/>
        <w:rPr>
          <w:lang w:val="fi-FI" w:eastAsia="fi-FI"/>
        </w:rPr>
      </w:pPr>
      <w:r>
        <w:rPr>
          <w:lang w:val="fi-FI" w:eastAsia="fi-FI"/>
        </w:rPr>
        <w:t xml:space="preserve">3ms is MAC-CE processing time including RF warm-up time (i.e. part B, C, D and E in Figure 2); </w:t>
      </w:r>
    </w:p>
    <w:p w14:paraId="120889A5" w14:textId="77777777" w:rsidR="0033483E" w:rsidRDefault="0033483E" w:rsidP="0033483E">
      <w:pPr>
        <w:numPr>
          <w:ilvl w:val="2"/>
          <w:numId w:val="51"/>
        </w:numPr>
        <w:textAlignment w:val="auto"/>
        <w:rPr>
          <w:lang w:val="fi-FI" w:eastAsia="fi-FI"/>
        </w:rPr>
      </w:pPr>
      <w:r w:rsidRPr="00E36979">
        <w:rPr>
          <w:lang w:val="fi-FI" w:eastAsia="fi-FI"/>
        </w:rPr>
        <w:t>T</w:t>
      </w:r>
      <w:r w:rsidRPr="00CE5DC4">
        <w:rPr>
          <w:vertAlign w:val="subscript"/>
          <w:lang w:val="fi-FI" w:eastAsia="fi-FI"/>
        </w:rPr>
        <w:t>SMTC_SCell</w:t>
      </w:r>
      <w:r>
        <w:rPr>
          <w:vertAlign w:val="subscript"/>
          <w:lang w:val="fi-FI" w:eastAsia="fi-FI"/>
        </w:rPr>
        <w:t xml:space="preserve"> </w:t>
      </w:r>
      <w:r>
        <w:rPr>
          <w:lang w:val="fi-FI" w:eastAsia="fi-FI"/>
        </w:rPr>
        <w:t xml:space="preserve">is the </w:t>
      </w:r>
      <w:r w:rsidRPr="004569FA">
        <w:rPr>
          <w:lang w:val="fi-FI" w:eastAsia="fi-FI"/>
        </w:rPr>
        <w:t>SMTC periodicity of SCell being activated</w:t>
      </w:r>
      <w:r>
        <w:rPr>
          <w:lang w:val="fi-FI" w:eastAsia="fi-FI"/>
        </w:rPr>
        <w:t xml:space="preserve"> for AGC and Fine FTL/TTL (i.e. part F in Figure 2);</w:t>
      </w:r>
    </w:p>
    <w:p w14:paraId="6C95497E" w14:textId="77777777" w:rsidR="0033483E" w:rsidRDefault="0033483E" w:rsidP="0033483E">
      <w:pPr>
        <w:numPr>
          <w:ilvl w:val="2"/>
          <w:numId w:val="51"/>
        </w:numPr>
        <w:textAlignment w:val="auto"/>
        <w:rPr>
          <w:lang w:val="fi-FI" w:eastAsia="fi-FI"/>
        </w:rPr>
      </w:pPr>
      <w:r>
        <w:rPr>
          <w:lang w:val="fi-FI" w:eastAsia="fi-FI"/>
        </w:rPr>
        <w:t>2ms is margin for SSB coming in last part (i.e. part G in Figure 2).</w:t>
      </w:r>
    </w:p>
    <w:p w14:paraId="36315CB6" w14:textId="77777777" w:rsidR="0033483E" w:rsidRPr="004569FA"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unknown in FR1,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w:t>
      </w:r>
      <w:r w:rsidRPr="000E5E6A">
        <w:rPr>
          <w:lang w:eastAsia="zh-CN"/>
        </w:rPr>
        <w:t xml:space="preserve"> </w:t>
      </w:r>
      <w:r>
        <w:rPr>
          <w:lang w:eastAsia="zh-CN"/>
        </w:rPr>
        <w:t>2*T</w:t>
      </w:r>
      <w:r>
        <w:rPr>
          <w:vertAlign w:val="subscript"/>
          <w:lang w:eastAsia="zh-CN"/>
        </w:rPr>
        <w:t xml:space="preserve">SMTC_MAX </w:t>
      </w:r>
      <w:r>
        <w:rPr>
          <w:lang w:eastAsia="zh-CN"/>
        </w:rPr>
        <w:t>+ 2*</w:t>
      </w:r>
      <w:proofErr w:type="spellStart"/>
      <w:r>
        <w:rPr>
          <w:lang w:eastAsia="zh-CN"/>
        </w:rPr>
        <w:t>T</w:t>
      </w:r>
      <w:r>
        <w:rPr>
          <w:vertAlign w:val="subscript"/>
          <w:lang w:eastAsia="zh-CN"/>
        </w:rPr>
        <w:t>SMTC_SCell</w:t>
      </w:r>
      <w:proofErr w:type="spellEnd"/>
      <w:r>
        <w:rPr>
          <w:rFonts w:eastAsia="Times New Roman"/>
          <w:lang w:eastAsia="zh-CN"/>
        </w:rPr>
        <w:t xml:space="preserve"> </w:t>
      </w:r>
      <w:r w:rsidRPr="00E36979">
        <w:rPr>
          <w:lang w:val="fi-FI" w:eastAsia="fi-FI"/>
        </w:rPr>
        <w:t>+ 2ms]</w:t>
      </w:r>
      <w:r>
        <w:rPr>
          <w:lang w:val="fi-FI" w:eastAsia="fi-FI"/>
        </w:rPr>
        <w:t xml:space="preserve">, where </w:t>
      </w:r>
      <w:r>
        <w:rPr>
          <w:lang w:eastAsia="zh-CN"/>
        </w:rPr>
        <w:t>T</w:t>
      </w:r>
      <w:r>
        <w:rPr>
          <w:vertAlign w:val="subscript"/>
          <w:lang w:eastAsia="zh-CN"/>
        </w:rPr>
        <w:t xml:space="preserve">SMTC_MAX </w:t>
      </w:r>
      <w:r>
        <w:rPr>
          <w:lang w:eastAsia="zh-CN"/>
        </w:rPr>
        <w:t xml:space="preserve">is the longer SMTC periodicity between active serving cells and </w:t>
      </w:r>
      <w:proofErr w:type="spellStart"/>
      <w:r>
        <w:rPr>
          <w:lang w:eastAsia="zh-CN"/>
        </w:rPr>
        <w:t>SCell</w:t>
      </w:r>
      <w:proofErr w:type="spellEnd"/>
      <w:r>
        <w:rPr>
          <w:lang w:eastAsia="zh-CN"/>
        </w:rPr>
        <w:t xml:space="preserve"> being activated </w:t>
      </w:r>
      <w:r>
        <w:rPr>
          <w:rFonts w:ascii="Tms Rmn" w:eastAsia="MS Mincho" w:hAnsi="Tms Rmn"/>
        </w:rPr>
        <w:t xml:space="preserve">provided </w:t>
      </w:r>
      <w:r>
        <w:rPr>
          <w:lang w:eastAsia="zh-CN"/>
        </w:rPr>
        <w:t xml:space="preserve">the cell specific reference signal, for PSS/SSS timing acquisition and MIB reading. </w:t>
      </w:r>
      <w:r w:rsidRPr="00A561B0">
        <w:rPr>
          <w:lang w:eastAsia="zh-CN"/>
        </w:rPr>
        <w:t xml:space="preserve">(i.e. part </w:t>
      </w:r>
      <w:r>
        <w:rPr>
          <w:lang w:eastAsia="zh-CN"/>
        </w:rPr>
        <w:t xml:space="preserve">I </w:t>
      </w:r>
      <w:r w:rsidRPr="00A561B0">
        <w:rPr>
          <w:lang w:eastAsia="zh-CN"/>
        </w:rPr>
        <w:t xml:space="preserve">in Figure 2); </w:t>
      </w:r>
      <w:r>
        <w:rPr>
          <w:vertAlign w:val="subscript"/>
          <w:lang w:eastAsia="zh-CN"/>
        </w:rPr>
        <w:t xml:space="preserve"> </w:t>
      </w:r>
      <w:r>
        <w:rPr>
          <w:lang w:val="fi-FI" w:eastAsia="fi-FI"/>
        </w:rPr>
        <w:t xml:space="preserve">   </w:t>
      </w:r>
    </w:p>
    <w:p w14:paraId="1EBE885D" w14:textId="77777777" w:rsidR="0033483E" w:rsidRDefault="0033483E" w:rsidP="0033483E">
      <w:pPr>
        <w:numPr>
          <w:ilvl w:val="0"/>
          <w:numId w:val="51"/>
        </w:numPr>
        <w:textAlignment w:val="auto"/>
      </w:pPr>
      <w:proofErr w:type="spellStart"/>
      <w:r w:rsidRPr="00D2068E">
        <w:rPr>
          <w:i/>
        </w:rPr>
        <w:t>T</w:t>
      </w:r>
      <w:r w:rsidRPr="00D2068E">
        <w:rPr>
          <w:i/>
          <w:vertAlign w:val="subscript"/>
        </w:rPr>
        <w:t>CSI_reporting</w:t>
      </w:r>
      <w:proofErr w:type="spellEnd"/>
      <w:r>
        <w:t xml:space="preserve"> is the delay </w:t>
      </w:r>
      <w:r w:rsidRPr="00D2068E">
        <w:rPr>
          <w:rFonts w:eastAsia="DengXian"/>
          <w:lang w:eastAsia="zh-CN"/>
        </w:rPr>
        <w:t xml:space="preserve">including </w:t>
      </w:r>
      <w:r>
        <w:t>uncertainty in acquiring the first available downlink CSI reference resource</w:t>
      </w:r>
      <w:r w:rsidRPr="00D2068E">
        <w:rPr>
          <w:rFonts w:eastAsia="DengXian"/>
          <w:lang w:eastAsia="zh-CN"/>
        </w:rPr>
        <w:t xml:space="preserve">, UE processing time for CSI reporting and </w:t>
      </w:r>
      <w:r>
        <w:t>uncertainty in acquiring the first available CSI reporting resources as specified in [5]. It is indicated in part H of Figure 1.</w:t>
      </w:r>
    </w:p>
    <w:p w14:paraId="0E820DE3" w14:textId="77777777" w:rsidR="0033483E" w:rsidRPr="00ED4A64" w:rsidRDefault="0033483E" w:rsidP="0033483E">
      <w:pPr>
        <w:spacing w:after="240"/>
        <w:jc w:val="center"/>
        <w:rPr>
          <w:b/>
        </w:rPr>
      </w:pPr>
      <w:r>
        <w:object w:dxaOrig="14996" w:dyaOrig="3531" w14:anchorId="45F72727">
          <v:shape id="_x0000_i1031" type="#_x0000_t75" style="width:508.6pt;height:118.65pt" o:ole="">
            <v:imagedata r:id="rId25" o:title=""/>
          </v:shape>
          <o:OLEObject Type="Embed" ProgID="Visio.Drawing.11" ShapeID="_x0000_i1031" DrawAspect="Content" ObjectID="_1627480179" r:id="rId26"/>
        </w:object>
      </w:r>
      <w:r w:rsidRPr="00ED4A64">
        <w:rPr>
          <w:b/>
        </w:rPr>
        <w:t xml:space="preserve">Figure </w:t>
      </w:r>
      <w:r>
        <w:rPr>
          <w:b/>
        </w:rPr>
        <w:t>1</w:t>
      </w:r>
      <w:r w:rsidRPr="00ED4A64">
        <w:rPr>
          <w:b/>
        </w:rPr>
        <w:t xml:space="preserve">: </w:t>
      </w:r>
      <w:r>
        <w:rPr>
          <w:b/>
        </w:rPr>
        <w:t>i</w:t>
      </w:r>
      <w:r w:rsidRPr="00ED4A64">
        <w:rPr>
          <w:b/>
        </w:rPr>
        <w:t xml:space="preserve">llustration of NR </w:t>
      </w:r>
      <w:proofErr w:type="spellStart"/>
      <w:r w:rsidRPr="00ED4A64">
        <w:rPr>
          <w:b/>
        </w:rPr>
        <w:t>SCell</w:t>
      </w:r>
      <w:proofErr w:type="spellEnd"/>
      <w:r w:rsidRPr="00ED4A64">
        <w:rPr>
          <w:b/>
        </w:rPr>
        <w:t xml:space="preserve"> activation latency</w:t>
      </w:r>
    </w:p>
    <w:p w14:paraId="2E5B767D" w14:textId="77777777" w:rsidR="0033483E" w:rsidRDefault="0033483E" w:rsidP="0033483E">
      <w:r>
        <w:t xml:space="preserve">Typical latency of Rel-15 NR </w:t>
      </w:r>
      <w:proofErr w:type="spellStart"/>
      <w:r>
        <w:t>SCell</w:t>
      </w:r>
      <w:proofErr w:type="spellEnd"/>
      <w:r>
        <w:t xml:space="preserve"> activation is also summarized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766"/>
        <w:gridCol w:w="1341"/>
        <w:gridCol w:w="832"/>
        <w:gridCol w:w="1097"/>
        <w:gridCol w:w="739"/>
        <w:gridCol w:w="739"/>
        <w:gridCol w:w="1104"/>
        <w:gridCol w:w="915"/>
      </w:tblGrid>
      <w:tr w:rsidR="0033483E" w:rsidRPr="008E0269" w14:paraId="57491B23" w14:textId="77777777" w:rsidTr="00C27410">
        <w:trPr>
          <w:trHeight w:val="125"/>
        </w:trPr>
        <w:tc>
          <w:tcPr>
            <w:tcW w:w="2321" w:type="dxa"/>
            <w:shd w:val="clear" w:color="auto" w:fill="auto"/>
            <w:hideMark/>
          </w:tcPr>
          <w:p w14:paraId="05DD55A8" w14:textId="77777777" w:rsidR="0033483E" w:rsidRPr="00EE5F3D" w:rsidRDefault="0033483E" w:rsidP="00C27410">
            <w:pPr>
              <w:spacing w:after="0" w:line="276" w:lineRule="auto"/>
              <w:jc w:val="center"/>
              <w:rPr>
                <w:rFonts w:eastAsia="MS Mincho"/>
              </w:rPr>
            </w:pPr>
          </w:p>
        </w:tc>
        <w:tc>
          <w:tcPr>
            <w:tcW w:w="766" w:type="dxa"/>
            <w:shd w:val="clear" w:color="auto" w:fill="auto"/>
            <w:hideMark/>
          </w:tcPr>
          <w:p w14:paraId="172BC302" w14:textId="77777777" w:rsidR="0033483E" w:rsidRPr="00EE5F3D" w:rsidRDefault="0033483E" w:rsidP="00C27410">
            <w:pPr>
              <w:spacing w:after="0" w:line="276" w:lineRule="auto"/>
              <w:jc w:val="center"/>
              <w:rPr>
                <w:rFonts w:eastAsia="MS Mincho"/>
                <w:b/>
                <w:bCs/>
              </w:rPr>
            </w:pPr>
            <w:r w:rsidRPr="00EE5F3D">
              <w:rPr>
                <w:rFonts w:eastAsia="MS Mincho"/>
                <w:b/>
                <w:bCs/>
              </w:rPr>
              <w:t>k0</w:t>
            </w:r>
          </w:p>
        </w:tc>
        <w:tc>
          <w:tcPr>
            <w:tcW w:w="1341" w:type="dxa"/>
            <w:shd w:val="clear" w:color="auto" w:fill="auto"/>
            <w:hideMark/>
          </w:tcPr>
          <w:p w14:paraId="04E4E751" w14:textId="77777777" w:rsidR="0033483E" w:rsidRPr="00EE5F3D" w:rsidRDefault="0033483E" w:rsidP="00C27410">
            <w:pPr>
              <w:spacing w:after="0" w:line="276" w:lineRule="auto"/>
              <w:jc w:val="center"/>
              <w:rPr>
                <w:rFonts w:eastAsia="MS Mincho"/>
                <w:b/>
                <w:bCs/>
              </w:rPr>
            </w:pPr>
            <w:r w:rsidRPr="00EE5F3D">
              <w:rPr>
                <w:rFonts w:eastAsia="MS Mincho"/>
                <w:b/>
                <w:bCs/>
              </w:rPr>
              <w:t>K1+A</w:t>
            </w:r>
          </w:p>
        </w:tc>
        <w:tc>
          <w:tcPr>
            <w:tcW w:w="832" w:type="dxa"/>
            <w:shd w:val="clear" w:color="auto" w:fill="auto"/>
            <w:hideMark/>
          </w:tcPr>
          <w:p w14:paraId="5C8ABBC2" w14:textId="77777777" w:rsidR="0033483E" w:rsidRPr="00EE5F3D" w:rsidRDefault="0033483E" w:rsidP="00C27410">
            <w:pPr>
              <w:spacing w:after="0" w:line="276" w:lineRule="auto"/>
              <w:jc w:val="center"/>
              <w:rPr>
                <w:rFonts w:eastAsia="MS Mincho"/>
                <w:b/>
                <w:bCs/>
              </w:rPr>
            </w:pPr>
            <w:r w:rsidRPr="00EE5F3D">
              <w:rPr>
                <w:rFonts w:eastAsia="MS Mincho"/>
                <w:b/>
                <w:bCs/>
              </w:rPr>
              <w:t>B+C+D+E</w:t>
            </w:r>
          </w:p>
        </w:tc>
        <w:tc>
          <w:tcPr>
            <w:tcW w:w="1097" w:type="dxa"/>
            <w:shd w:val="clear" w:color="auto" w:fill="auto"/>
            <w:hideMark/>
          </w:tcPr>
          <w:p w14:paraId="5151D732" w14:textId="77777777" w:rsidR="0033483E" w:rsidRPr="00EE5F3D" w:rsidRDefault="0033483E" w:rsidP="00C27410">
            <w:pPr>
              <w:spacing w:after="0" w:line="276" w:lineRule="auto"/>
              <w:jc w:val="center"/>
              <w:rPr>
                <w:rFonts w:eastAsia="MS Mincho"/>
                <w:b/>
                <w:bCs/>
              </w:rPr>
            </w:pPr>
            <w:r w:rsidRPr="00EE5F3D">
              <w:rPr>
                <w:rFonts w:eastAsia="MS Mincho"/>
                <w:b/>
                <w:bCs/>
              </w:rPr>
              <w:t>F</w:t>
            </w:r>
          </w:p>
        </w:tc>
        <w:tc>
          <w:tcPr>
            <w:tcW w:w="739" w:type="dxa"/>
            <w:shd w:val="clear" w:color="auto" w:fill="auto"/>
          </w:tcPr>
          <w:p w14:paraId="4BB96B36" w14:textId="77777777" w:rsidR="0033483E" w:rsidRPr="00EE5F3D" w:rsidRDefault="0033483E" w:rsidP="00C27410">
            <w:pPr>
              <w:spacing w:after="0" w:line="276" w:lineRule="auto"/>
              <w:jc w:val="center"/>
              <w:rPr>
                <w:rFonts w:eastAsia="MS Mincho"/>
                <w:b/>
                <w:bCs/>
              </w:rPr>
            </w:pPr>
            <w:r w:rsidRPr="00EE5F3D">
              <w:rPr>
                <w:rFonts w:eastAsia="MS Mincho"/>
                <w:b/>
                <w:bCs/>
              </w:rPr>
              <w:t>I</w:t>
            </w:r>
          </w:p>
        </w:tc>
        <w:tc>
          <w:tcPr>
            <w:tcW w:w="739" w:type="dxa"/>
            <w:shd w:val="clear" w:color="auto" w:fill="auto"/>
            <w:hideMark/>
          </w:tcPr>
          <w:p w14:paraId="2352CC7D" w14:textId="77777777" w:rsidR="0033483E" w:rsidRPr="00EE5F3D" w:rsidRDefault="0033483E" w:rsidP="00C27410">
            <w:pPr>
              <w:spacing w:after="0" w:line="276" w:lineRule="auto"/>
              <w:jc w:val="center"/>
              <w:rPr>
                <w:rFonts w:eastAsia="MS Mincho"/>
                <w:b/>
                <w:bCs/>
              </w:rPr>
            </w:pPr>
            <w:r w:rsidRPr="00EE5F3D">
              <w:rPr>
                <w:rFonts w:eastAsia="MS Mincho"/>
                <w:b/>
                <w:bCs/>
              </w:rPr>
              <w:t>G</w:t>
            </w:r>
          </w:p>
        </w:tc>
        <w:tc>
          <w:tcPr>
            <w:tcW w:w="1104" w:type="dxa"/>
            <w:shd w:val="clear" w:color="auto" w:fill="auto"/>
            <w:hideMark/>
          </w:tcPr>
          <w:p w14:paraId="3A7B9108" w14:textId="77777777" w:rsidR="0033483E" w:rsidRPr="00EE5F3D" w:rsidRDefault="0033483E" w:rsidP="00C27410">
            <w:pPr>
              <w:spacing w:after="0" w:line="276" w:lineRule="auto"/>
              <w:jc w:val="center"/>
              <w:rPr>
                <w:rFonts w:eastAsia="MS Mincho"/>
                <w:b/>
                <w:bCs/>
              </w:rPr>
            </w:pPr>
            <w:r w:rsidRPr="00EE5F3D">
              <w:rPr>
                <w:rFonts w:eastAsia="MS Mincho"/>
                <w:b/>
                <w:bCs/>
              </w:rPr>
              <w:t>H</w:t>
            </w:r>
          </w:p>
        </w:tc>
        <w:tc>
          <w:tcPr>
            <w:tcW w:w="915" w:type="dxa"/>
            <w:shd w:val="clear" w:color="auto" w:fill="auto"/>
            <w:hideMark/>
          </w:tcPr>
          <w:p w14:paraId="3177AD88" w14:textId="77777777" w:rsidR="0033483E" w:rsidRPr="00EE5F3D" w:rsidRDefault="0033483E" w:rsidP="00C27410">
            <w:pPr>
              <w:spacing w:after="0" w:line="276" w:lineRule="auto"/>
              <w:jc w:val="center"/>
              <w:rPr>
                <w:rFonts w:eastAsia="MS Mincho"/>
                <w:b/>
                <w:bCs/>
              </w:rPr>
            </w:pPr>
            <w:r w:rsidRPr="00EE5F3D">
              <w:rPr>
                <w:rFonts w:eastAsia="MS Mincho"/>
                <w:b/>
                <w:bCs/>
              </w:rPr>
              <w:t>Sum</w:t>
            </w:r>
          </w:p>
        </w:tc>
      </w:tr>
      <w:tr w:rsidR="0033483E" w:rsidRPr="008E0269" w14:paraId="7516A538" w14:textId="77777777" w:rsidTr="00C27410">
        <w:trPr>
          <w:trHeight w:val="431"/>
        </w:trPr>
        <w:tc>
          <w:tcPr>
            <w:tcW w:w="2321" w:type="dxa"/>
            <w:shd w:val="clear" w:color="auto" w:fill="auto"/>
          </w:tcPr>
          <w:p w14:paraId="2AA2FAAA" w14:textId="77777777" w:rsidR="0033483E" w:rsidRPr="00EE5F3D" w:rsidRDefault="0033483E" w:rsidP="00C27410">
            <w:pPr>
              <w:spacing w:after="0" w:line="276" w:lineRule="auto"/>
              <w:jc w:val="center"/>
              <w:rPr>
                <w:rFonts w:eastAsia="MS Mincho"/>
              </w:rPr>
            </w:pPr>
            <w:r w:rsidRPr="00EE5F3D">
              <w:rPr>
                <w:rFonts w:eastAsia="MS Mincho"/>
              </w:rPr>
              <w:t>Value is from</w:t>
            </w:r>
          </w:p>
        </w:tc>
        <w:tc>
          <w:tcPr>
            <w:tcW w:w="766" w:type="dxa"/>
            <w:shd w:val="clear" w:color="auto" w:fill="auto"/>
          </w:tcPr>
          <w:p w14:paraId="49770348"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1341" w:type="dxa"/>
            <w:shd w:val="clear" w:color="auto" w:fill="auto"/>
          </w:tcPr>
          <w:p w14:paraId="75C5AB7B"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832" w:type="dxa"/>
            <w:shd w:val="clear" w:color="auto" w:fill="auto"/>
          </w:tcPr>
          <w:p w14:paraId="3B509514" w14:textId="77777777" w:rsidR="0033483E" w:rsidRPr="00EE5F3D" w:rsidRDefault="0033483E" w:rsidP="00C27410">
            <w:pPr>
              <w:spacing w:after="0" w:line="276" w:lineRule="auto"/>
              <w:jc w:val="center"/>
              <w:rPr>
                <w:rFonts w:eastAsia="MS Mincho"/>
              </w:rPr>
            </w:pPr>
            <w:r w:rsidRPr="00EE5F3D">
              <w:rPr>
                <w:rFonts w:eastAsia="MS Mincho"/>
              </w:rPr>
              <w:t>38.213</w:t>
            </w:r>
          </w:p>
        </w:tc>
        <w:tc>
          <w:tcPr>
            <w:tcW w:w="1097" w:type="dxa"/>
            <w:shd w:val="clear" w:color="auto" w:fill="auto"/>
          </w:tcPr>
          <w:p w14:paraId="1D7402CC" w14:textId="77777777" w:rsidR="0033483E" w:rsidRPr="00EE5F3D" w:rsidRDefault="0033483E" w:rsidP="00C27410">
            <w:pPr>
              <w:spacing w:after="0" w:line="276" w:lineRule="auto"/>
              <w:jc w:val="center"/>
              <w:rPr>
                <w:rFonts w:eastAsia="MS Mincho"/>
              </w:rPr>
            </w:pPr>
            <w:r w:rsidRPr="00EE5F3D">
              <w:rPr>
                <w:rFonts w:eastAsia="MS Mincho"/>
              </w:rPr>
              <w:t>RAN1 / RAN4</w:t>
            </w:r>
          </w:p>
        </w:tc>
        <w:tc>
          <w:tcPr>
            <w:tcW w:w="739" w:type="dxa"/>
            <w:shd w:val="clear" w:color="auto" w:fill="auto"/>
          </w:tcPr>
          <w:p w14:paraId="069C207C"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739" w:type="dxa"/>
            <w:shd w:val="clear" w:color="auto" w:fill="auto"/>
          </w:tcPr>
          <w:p w14:paraId="2E96D664"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1104" w:type="dxa"/>
            <w:shd w:val="clear" w:color="auto" w:fill="auto"/>
          </w:tcPr>
          <w:p w14:paraId="6BAB8DA5" w14:textId="77777777" w:rsidR="0033483E" w:rsidRPr="00EE5F3D" w:rsidRDefault="0033483E" w:rsidP="00C27410">
            <w:pPr>
              <w:spacing w:after="0" w:line="276" w:lineRule="auto"/>
              <w:jc w:val="center"/>
              <w:rPr>
                <w:rFonts w:eastAsia="MS Mincho"/>
              </w:rPr>
            </w:pPr>
            <w:r w:rsidRPr="00EE5F3D">
              <w:rPr>
                <w:rFonts w:eastAsia="MS Mincho"/>
              </w:rPr>
              <w:t>Section 5.4 of 38.214</w:t>
            </w:r>
          </w:p>
        </w:tc>
        <w:tc>
          <w:tcPr>
            <w:tcW w:w="915" w:type="dxa"/>
            <w:shd w:val="clear" w:color="auto" w:fill="auto"/>
          </w:tcPr>
          <w:p w14:paraId="2F65F28C" w14:textId="77777777" w:rsidR="0033483E" w:rsidRPr="00EE5F3D" w:rsidRDefault="0033483E" w:rsidP="00C27410">
            <w:pPr>
              <w:spacing w:after="0" w:line="276" w:lineRule="auto"/>
              <w:jc w:val="center"/>
              <w:rPr>
                <w:rFonts w:eastAsia="MS Mincho"/>
              </w:rPr>
            </w:pPr>
          </w:p>
        </w:tc>
      </w:tr>
      <w:tr w:rsidR="0033483E" w:rsidRPr="008E0269" w14:paraId="1768616D" w14:textId="77777777" w:rsidTr="00C27410">
        <w:trPr>
          <w:trHeight w:val="881"/>
        </w:trPr>
        <w:tc>
          <w:tcPr>
            <w:tcW w:w="2321" w:type="dxa"/>
            <w:shd w:val="clear" w:color="auto" w:fill="auto"/>
            <w:hideMark/>
          </w:tcPr>
          <w:p w14:paraId="00CD56AD"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6082CBBD"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&lt;=160ms</w:t>
            </w:r>
          </w:p>
        </w:tc>
        <w:tc>
          <w:tcPr>
            <w:tcW w:w="766" w:type="dxa"/>
            <w:shd w:val="clear" w:color="auto" w:fill="auto"/>
            <w:hideMark/>
          </w:tcPr>
          <w:p w14:paraId="14CF07E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hideMark/>
          </w:tcPr>
          <w:p w14:paraId="656ED99F" w14:textId="77777777" w:rsidR="0033483E" w:rsidRPr="00EE5F3D" w:rsidRDefault="0033483E" w:rsidP="00C27410">
            <w:pPr>
              <w:spacing w:after="0" w:line="276" w:lineRule="auto"/>
              <w:jc w:val="center"/>
              <w:rPr>
                <w:rFonts w:eastAsia="MS Mincho"/>
              </w:rPr>
            </w:pPr>
            <w:r w:rsidRPr="00EE5F3D">
              <w:rPr>
                <w:rFonts w:eastAsia="MS Mincho"/>
              </w:rPr>
              <w:t xml:space="preserve">1ms (assume </w:t>
            </w:r>
            <w:r>
              <w:rPr>
                <w:rFonts w:eastAsia="MS Mincho"/>
              </w:rPr>
              <w:t>k1=1, A=up to 1 slot</w:t>
            </w:r>
            <w:r w:rsidRPr="00EE5F3D">
              <w:rPr>
                <w:rFonts w:eastAsia="MS Mincho"/>
              </w:rPr>
              <w:t>)</w:t>
            </w:r>
          </w:p>
        </w:tc>
        <w:tc>
          <w:tcPr>
            <w:tcW w:w="832" w:type="dxa"/>
            <w:shd w:val="clear" w:color="auto" w:fill="auto"/>
            <w:hideMark/>
          </w:tcPr>
          <w:p w14:paraId="689F8525" w14:textId="77777777" w:rsidR="0033483E" w:rsidRPr="00EE5F3D" w:rsidRDefault="0033483E" w:rsidP="00C27410">
            <w:pPr>
              <w:spacing w:after="0" w:line="276" w:lineRule="auto"/>
              <w:jc w:val="center"/>
              <w:rPr>
                <w:rFonts w:eastAsia="MS Mincho"/>
              </w:rPr>
            </w:pPr>
            <w:r w:rsidRPr="00EE5F3D">
              <w:rPr>
                <w:rFonts w:eastAsia="MS Mincho"/>
              </w:rPr>
              <w:t>3ms</w:t>
            </w:r>
          </w:p>
          <w:p w14:paraId="4AC3DB38" w14:textId="77777777" w:rsidR="0033483E" w:rsidRPr="00EE5F3D" w:rsidRDefault="0033483E" w:rsidP="00C27410">
            <w:pPr>
              <w:spacing w:after="0" w:line="276" w:lineRule="auto"/>
              <w:jc w:val="center"/>
              <w:rPr>
                <w:rFonts w:eastAsia="MS Mincho"/>
              </w:rPr>
            </w:pPr>
          </w:p>
        </w:tc>
        <w:tc>
          <w:tcPr>
            <w:tcW w:w="1097" w:type="dxa"/>
            <w:shd w:val="clear" w:color="auto" w:fill="auto"/>
            <w:hideMark/>
          </w:tcPr>
          <w:p w14:paraId="56BDDA12" w14:textId="77777777" w:rsidR="0033483E" w:rsidRPr="00EE5F3D" w:rsidRDefault="0033483E" w:rsidP="00C27410">
            <w:pPr>
              <w:spacing w:after="0" w:line="276" w:lineRule="auto"/>
              <w:jc w:val="center"/>
              <w:rPr>
                <w:rFonts w:eastAsia="MS Mincho"/>
              </w:rPr>
            </w:pPr>
            <w:r w:rsidRPr="00EE5F3D">
              <w:rPr>
                <w:rFonts w:eastAsia="MS Mincho"/>
              </w:rPr>
              <w:t>20ms (1SMTC)</w:t>
            </w:r>
          </w:p>
        </w:tc>
        <w:tc>
          <w:tcPr>
            <w:tcW w:w="739" w:type="dxa"/>
            <w:shd w:val="clear" w:color="auto" w:fill="auto"/>
          </w:tcPr>
          <w:p w14:paraId="4C63BF8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hideMark/>
          </w:tcPr>
          <w:p w14:paraId="29B67EF9"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hideMark/>
          </w:tcPr>
          <w:p w14:paraId="5931D865" w14:textId="77777777" w:rsidR="0033483E" w:rsidRPr="00EE5F3D" w:rsidRDefault="0033483E" w:rsidP="00C27410">
            <w:pPr>
              <w:spacing w:after="0" w:line="276" w:lineRule="auto"/>
              <w:jc w:val="center"/>
              <w:rPr>
                <w:rFonts w:eastAsia="MS Mincho"/>
              </w:rPr>
            </w:pPr>
            <w:r w:rsidRPr="00EE5F3D">
              <w:rPr>
                <w:rFonts w:eastAsia="MS Mincho"/>
              </w:rPr>
              <w:t>1.57ms (assume 22 symbol)</w:t>
            </w:r>
          </w:p>
        </w:tc>
        <w:tc>
          <w:tcPr>
            <w:tcW w:w="915" w:type="dxa"/>
            <w:shd w:val="clear" w:color="auto" w:fill="auto"/>
            <w:hideMark/>
          </w:tcPr>
          <w:p w14:paraId="68476E89" w14:textId="77777777" w:rsidR="0033483E" w:rsidRPr="00EE5F3D" w:rsidRDefault="0033483E" w:rsidP="00C27410">
            <w:pPr>
              <w:spacing w:after="0" w:line="276" w:lineRule="auto"/>
              <w:jc w:val="center"/>
              <w:rPr>
                <w:rFonts w:eastAsia="MS Mincho"/>
                <w:bCs/>
              </w:rPr>
            </w:pPr>
            <w:r w:rsidRPr="00EE5F3D">
              <w:rPr>
                <w:rFonts w:eastAsia="MS Mincho"/>
                <w:bCs/>
              </w:rPr>
              <w:t>2</w:t>
            </w:r>
            <w:r>
              <w:rPr>
                <w:rFonts w:eastAsia="MS Mincho"/>
                <w:bCs/>
              </w:rPr>
              <w:t>8</w:t>
            </w:r>
            <w:r w:rsidRPr="00EE5F3D">
              <w:rPr>
                <w:rFonts w:eastAsia="MS Mincho"/>
                <w:bCs/>
              </w:rPr>
              <w:t>.57ms</w:t>
            </w:r>
          </w:p>
        </w:tc>
      </w:tr>
      <w:tr w:rsidR="0033483E" w:rsidRPr="008E0269" w14:paraId="58FFE994" w14:textId="77777777" w:rsidTr="00C27410">
        <w:trPr>
          <w:trHeight w:val="350"/>
        </w:trPr>
        <w:tc>
          <w:tcPr>
            <w:tcW w:w="2321" w:type="dxa"/>
            <w:shd w:val="clear" w:color="auto" w:fill="auto"/>
          </w:tcPr>
          <w:p w14:paraId="1A6E5C68"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16DBB20A"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&gt;160ms</w:t>
            </w:r>
          </w:p>
        </w:tc>
        <w:tc>
          <w:tcPr>
            <w:tcW w:w="766" w:type="dxa"/>
            <w:shd w:val="clear" w:color="auto" w:fill="auto"/>
          </w:tcPr>
          <w:p w14:paraId="0549DC3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7D91CE64"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 xml:space="preserve">ms </w:t>
            </w:r>
          </w:p>
        </w:tc>
        <w:tc>
          <w:tcPr>
            <w:tcW w:w="832" w:type="dxa"/>
            <w:shd w:val="clear" w:color="auto" w:fill="auto"/>
          </w:tcPr>
          <w:p w14:paraId="5DA7DD2B" w14:textId="77777777" w:rsidR="0033483E" w:rsidRPr="00EE5F3D" w:rsidRDefault="0033483E" w:rsidP="00C27410">
            <w:pPr>
              <w:spacing w:after="0" w:line="276" w:lineRule="auto"/>
              <w:jc w:val="center"/>
              <w:rPr>
                <w:rFonts w:eastAsia="MS Mincho"/>
              </w:rPr>
            </w:pPr>
            <w:r w:rsidRPr="00EE5F3D">
              <w:rPr>
                <w:rFonts w:eastAsia="MS Mincho"/>
              </w:rPr>
              <w:t>3ms</w:t>
            </w:r>
          </w:p>
          <w:p w14:paraId="0BDCAACB" w14:textId="77777777" w:rsidR="0033483E" w:rsidRPr="00EE5F3D" w:rsidRDefault="0033483E" w:rsidP="00C27410">
            <w:pPr>
              <w:spacing w:after="0" w:line="276" w:lineRule="auto"/>
              <w:jc w:val="center"/>
              <w:rPr>
                <w:rFonts w:eastAsia="MS Mincho"/>
              </w:rPr>
            </w:pPr>
          </w:p>
        </w:tc>
        <w:tc>
          <w:tcPr>
            <w:tcW w:w="1097" w:type="dxa"/>
            <w:shd w:val="clear" w:color="auto" w:fill="auto"/>
          </w:tcPr>
          <w:p w14:paraId="2B90DE00" w14:textId="77777777" w:rsidR="0033483E" w:rsidRPr="00EE5F3D" w:rsidRDefault="0033483E" w:rsidP="00C27410">
            <w:pPr>
              <w:spacing w:after="0" w:line="276" w:lineRule="auto"/>
              <w:jc w:val="center"/>
              <w:rPr>
                <w:rFonts w:eastAsia="MS Mincho"/>
              </w:rPr>
            </w:pPr>
            <w:r w:rsidRPr="00EE5F3D">
              <w:rPr>
                <w:rFonts w:eastAsia="MS Mincho"/>
              </w:rPr>
              <w:t>40ms (2SMTC)</w:t>
            </w:r>
          </w:p>
        </w:tc>
        <w:tc>
          <w:tcPr>
            <w:tcW w:w="739" w:type="dxa"/>
            <w:shd w:val="clear" w:color="auto" w:fill="auto"/>
          </w:tcPr>
          <w:p w14:paraId="6FA17EF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tcPr>
          <w:p w14:paraId="218FAE55"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201FB126" w14:textId="77777777" w:rsidR="0033483E" w:rsidRPr="00EE5F3D" w:rsidRDefault="0033483E" w:rsidP="00C27410">
            <w:pPr>
              <w:spacing w:after="0" w:line="276" w:lineRule="auto"/>
              <w:jc w:val="center"/>
              <w:rPr>
                <w:rFonts w:eastAsia="MS Mincho"/>
              </w:rPr>
            </w:pPr>
            <w:r w:rsidRPr="00EE5F3D">
              <w:rPr>
                <w:rFonts w:eastAsia="MS Mincho"/>
              </w:rPr>
              <w:t xml:space="preserve">1.57ms </w:t>
            </w:r>
          </w:p>
        </w:tc>
        <w:tc>
          <w:tcPr>
            <w:tcW w:w="915" w:type="dxa"/>
            <w:shd w:val="clear" w:color="auto" w:fill="auto"/>
          </w:tcPr>
          <w:p w14:paraId="7ADBB01B" w14:textId="77777777" w:rsidR="0033483E" w:rsidRPr="00EE5F3D" w:rsidRDefault="0033483E" w:rsidP="00C27410">
            <w:pPr>
              <w:spacing w:after="0" w:line="276" w:lineRule="auto"/>
              <w:jc w:val="center"/>
              <w:rPr>
                <w:rFonts w:eastAsia="MS Mincho"/>
                <w:bCs/>
              </w:rPr>
            </w:pPr>
            <w:r w:rsidRPr="00EE5F3D">
              <w:rPr>
                <w:rFonts w:eastAsia="MS Mincho"/>
                <w:bCs/>
              </w:rPr>
              <w:t>4</w:t>
            </w:r>
            <w:r>
              <w:rPr>
                <w:rFonts w:eastAsia="MS Mincho"/>
                <w:bCs/>
              </w:rPr>
              <w:t>8</w:t>
            </w:r>
            <w:r w:rsidRPr="00EE5F3D">
              <w:rPr>
                <w:rFonts w:eastAsia="MS Mincho"/>
                <w:bCs/>
              </w:rPr>
              <w:t>.57ms</w:t>
            </w:r>
          </w:p>
        </w:tc>
      </w:tr>
      <w:tr w:rsidR="0033483E" w:rsidRPr="008E0269" w14:paraId="192A85C7" w14:textId="77777777" w:rsidTr="00C27410">
        <w:trPr>
          <w:trHeight w:val="134"/>
        </w:trPr>
        <w:tc>
          <w:tcPr>
            <w:tcW w:w="2321" w:type="dxa"/>
            <w:shd w:val="clear" w:color="auto" w:fill="auto"/>
          </w:tcPr>
          <w:p w14:paraId="6CB0B0A6" w14:textId="77777777" w:rsidR="0033483E" w:rsidRPr="00EE5F3D" w:rsidRDefault="0033483E" w:rsidP="00C27410">
            <w:pPr>
              <w:spacing w:after="0" w:line="276" w:lineRule="auto"/>
              <w:jc w:val="center"/>
              <w:rPr>
                <w:rFonts w:eastAsia="MS Mincho"/>
              </w:rPr>
            </w:pPr>
            <w:r w:rsidRPr="00EE5F3D">
              <w:rPr>
                <w:rFonts w:eastAsia="MS Mincho"/>
              </w:rPr>
              <w:t>Unknown in FR1</w:t>
            </w:r>
          </w:p>
        </w:tc>
        <w:tc>
          <w:tcPr>
            <w:tcW w:w="766" w:type="dxa"/>
            <w:shd w:val="clear" w:color="auto" w:fill="auto"/>
          </w:tcPr>
          <w:p w14:paraId="5175C0FF"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2D79D7AC"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ms</w:t>
            </w:r>
          </w:p>
        </w:tc>
        <w:tc>
          <w:tcPr>
            <w:tcW w:w="832" w:type="dxa"/>
            <w:shd w:val="clear" w:color="auto" w:fill="auto"/>
          </w:tcPr>
          <w:p w14:paraId="36539D94" w14:textId="77777777" w:rsidR="0033483E" w:rsidRPr="00EE5F3D" w:rsidRDefault="0033483E" w:rsidP="00C27410">
            <w:pPr>
              <w:spacing w:after="0" w:line="276" w:lineRule="auto"/>
              <w:jc w:val="center"/>
              <w:rPr>
                <w:rFonts w:eastAsia="MS Mincho"/>
              </w:rPr>
            </w:pPr>
            <w:r w:rsidRPr="00EE5F3D">
              <w:rPr>
                <w:rFonts w:eastAsia="MS Mincho"/>
              </w:rPr>
              <w:t>3ms</w:t>
            </w:r>
          </w:p>
        </w:tc>
        <w:tc>
          <w:tcPr>
            <w:tcW w:w="1097" w:type="dxa"/>
            <w:shd w:val="clear" w:color="auto" w:fill="auto"/>
          </w:tcPr>
          <w:p w14:paraId="40D1042B"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2D99B173"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7C395BB8"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3F80A4F8" w14:textId="77777777" w:rsidR="0033483E" w:rsidRPr="00EE5F3D" w:rsidRDefault="0033483E" w:rsidP="00C27410">
            <w:pPr>
              <w:spacing w:after="0" w:line="276" w:lineRule="auto"/>
              <w:jc w:val="center"/>
              <w:rPr>
                <w:rFonts w:eastAsia="MS Mincho"/>
              </w:rPr>
            </w:pPr>
            <w:r w:rsidRPr="00EE5F3D">
              <w:rPr>
                <w:rFonts w:eastAsia="MS Mincho"/>
              </w:rPr>
              <w:t>1.57ms</w:t>
            </w:r>
          </w:p>
        </w:tc>
        <w:tc>
          <w:tcPr>
            <w:tcW w:w="915" w:type="dxa"/>
            <w:shd w:val="clear" w:color="auto" w:fill="auto"/>
          </w:tcPr>
          <w:p w14:paraId="45459323" w14:textId="77777777" w:rsidR="0033483E" w:rsidRPr="00EE5F3D" w:rsidRDefault="0033483E" w:rsidP="00C27410">
            <w:pPr>
              <w:spacing w:after="0" w:line="276" w:lineRule="auto"/>
              <w:jc w:val="center"/>
              <w:rPr>
                <w:rFonts w:eastAsia="MS Mincho"/>
                <w:bCs/>
              </w:rPr>
            </w:pPr>
            <w:r w:rsidRPr="00EE5F3D">
              <w:rPr>
                <w:rFonts w:eastAsia="MS Mincho"/>
                <w:bCs/>
              </w:rPr>
              <w:t>8</w:t>
            </w:r>
            <w:r>
              <w:rPr>
                <w:rFonts w:eastAsia="MS Mincho"/>
                <w:bCs/>
              </w:rPr>
              <w:t>8</w:t>
            </w:r>
            <w:r w:rsidRPr="00EE5F3D">
              <w:rPr>
                <w:rFonts w:eastAsia="MS Mincho"/>
                <w:bCs/>
              </w:rPr>
              <w:t>.57ms</w:t>
            </w:r>
          </w:p>
        </w:tc>
      </w:tr>
    </w:tbl>
    <w:p w14:paraId="0F5AD187" w14:textId="77777777" w:rsidR="0033483E" w:rsidRPr="00ED4A64" w:rsidRDefault="0033483E" w:rsidP="0033483E">
      <w:pPr>
        <w:spacing w:before="180"/>
        <w:jc w:val="center"/>
        <w:rPr>
          <w:b/>
        </w:rPr>
      </w:pPr>
      <w:r w:rsidRPr="00ED4A64">
        <w:rPr>
          <w:b/>
        </w:rPr>
        <w:t xml:space="preserve">Table 1: </w:t>
      </w:r>
      <w:r>
        <w:rPr>
          <w:b/>
        </w:rPr>
        <w:t>m</w:t>
      </w:r>
      <w:r w:rsidRPr="00ED4A64">
        <w:rPr>
          <w:b/>
        </w:rPr>
        <w:t xml:space="preserve">aximum delay of NR </w:t>
      </w:r>
      <w:proofErr w:type="spellStart"/>
      <w:r w:rsidRPr="00ED4A64">
        <w:rPr>
          <w:b/>
        </w:rPr>
        <w:t>SCell</w:t>
      </w:r>
      <w:proofErr w:type="spellEnd"/>
      <w:r w:rsidRPr="00ED4A64">
        <w:rPr>
          <w:b/>
        </w:rPr>
        <w:t xml:space="preserve"> activation (assume 15KHz SCS and 20ms SMTC)</w:t>
      </w:r>
    </w:p>
    <w:p w14:paraId="2A24DE4B" w14:textId="77777777" w:rsidR="0033483E" w:rsidRDefault="0033483E" w:rsidP="0033483E">
      <w:r>
        <w:t xml:space="preserve">As seen in Figure.1, latency caused by CQI reporting is not dominant part any more in NR. Instead, the main latency contributors are AGC (which needs at least 1 or 2 SSBs), fine FTL/TTL and MIB reading (for unknown </w:t>
      </w:r>
      <w:proofErr w:type="spellStart"/>
      <w:r>
        <w:t>SCell</w:t>
      </w:r>
      <w:proofErr w:type="spellEnd"/>
      <w:r>
        <w:t xml:space="preserve">), which all require SSB monitoring. As we see, under typical SMTC configuration (20ms), NR </w:t>
      </w:r>
      <w:proofErr w:type="spellStart"/>
      <w:r>
        <w:t>SCell</w:t>
      </w:r>
      <w:proofErr w:type="spellEnd"/>
      <w:r>
        <w:t xml:space="preserve"> activation latency is even longer than LTE, which is because SSB (typical 20ms) is much sparser than CRS (every 1ms TTI) in LTE. </w:t>
      </w:r>
    </w:p>
    <w:p w14:paraId="0D16FD11" w14:textId="743E6740" w:rsidR="0033483E" w:rsidRDefault="0033483E" w:rsidP="0033483E">
      <w:r>
        <w:t xml:space="preserve">In FR2, the main difference is that </w:t>
      </w:r>
      <w:r w:rsidRPr="00BE0CBB">
        <w:t>we have additional long latency caused by beam management</w:t>
      </w:r>
      <w:r>
        <w:t xml:space="preserve">. To </w:t>
      </w:r>
      <w:r w:rsidRPr="001F5A53">
        <w:t>keep track of which beams the UE needs to use, the UE needs to do beam management (i.e. Rx beam sweeping) after ready for PDCCH monitoring</w:t>
      </w:r>
      <w:r>
        <w:t>. The beam management can also be relied on SSB monitoring.</w:t>
      </w:r>
    </w:p>
    <w:p w14:paraId="190C04B4" w14:textId="77777777" w:rsidR="0033483E" w:rsidRPr="00AB7C54" w:rsidRDefault="0033483E" w:rsidP="0033483E">
      <w:pPr>
        <w:rPr>
          <w:lang w:val="en-GB"/>
        </w:rPr>
      </w:pPr>
    </w:p>
    <w:sectPr w:rsidR="0033483E" w:rsidRPr="00AB7C54" w:rsidSect="008331BB">
      <w:headerReference w:type="even" r:id="rId27"/>
      <w:footerReference w:type="even" r:id="rId28"/>
      <w:footerReference w:type="default" r:id="rId29"/>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5AE97" w14:textId="77777777" w:rsidR="00231D9B" w:rsidRDefault="00231D9B">
      <w:r>
        <w:separator/>
      </w:r>
    </w:p>
  </w:endnote>
  <w:endnote w:type="continuationSeparator" w:id="0">
    <w:p w14:paraId="6386007F" w14:textId="77777777" w:rsidR="00231D9B" w:rsidRDefault="00231D9B">
      <w:r>
        <w:continuationSeparator/>
      </w:r>
    </w:p>
  </w:endnote>
  <w:endnote w:type="continuationNotice" w:id="1">
    <w:p w14:paraId="463A44C6" w14:textId="77777777" w:rsidR="00231D9B" w:rsidRDefault="00231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231D9B" w:rsidRDefault="00231D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31D9B" w:rsidRDefault="00231D9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231D9B" w:rsidRDefault="00231D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100DC" w14:textId="77777777" w:rsidR="00231D9B" w:rsidRDefault="00231D9B">
      <w:r>
        <w:separator/>
      </w:r>
    </w:p>
  </w:footnote>
  <w:footnote w:type="continuationSeparator" w:id="0">
    <w:p w14:paraId="39DC4210" w14:textId="77777777" w:rsidR="00231D9B" w:rsidRDefault="00231D9B">
      <w:r>
        <w:continuationSeparator/>
      </w:r>
    </w:p>
  </w:footnote>
  <w:footnote w:type="continuationNotice" w:id="1">
    <w:p w14:paraId="77DC7991" w14:textId="77777777" w:rsidR="00231D9B" w:rsidRDefault="00231D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231D9B" w:rsidRDefault="00231D9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361C0"/>
    <w:multiLevelType w:val="hybridMultilevel"/>
    <w:tmpl w:val="9192F20A"/>
    <w:lvl w:ilvl="0" w:tplc="EC0AE7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361FA0"/>
    <w:multiLevelType w:val="hybridMultilevel"/>
    <w:tmpl w:val="E81C0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07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277C0891"/>
    <w:multiLevelType w:val="hybridMultilevel"/>
    <w:tmpl w:val="A3907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5A7989"/>
    <w:multiLevelType w:val="hybridMultilevel"/>
    <w:tmpl w:val="C91E09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2"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6"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4F6DB6"/>
    <w:multiLevelType w:val="hybridMultilevel"/>
    <w:tmpl w:val="1B82B6C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9"/>
  </w:num>
  <w:num w:numId="4">
    <w:abstractNumId w:val="49"/>
  </w:num>
  <w:num w:numId="5">
    <w:abstractNumId w:val="34"/>
  </w:num>
  <w:num w:numId="6">
    <w:abstractNumId w:val="48"/>
  </w:num>
  <w:num w:numId="7">
    <w:abstractNumId w:val="43"/>
  </w:num>
  <w:num w:numId="8">
    <w:abstractNumId w:val="40"/>
  </w:num>
  <w:num w:numId="9">
    <w:abstractNumId w:val="39"/>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7"/>
  </w:num>
  <w:num w:numId="13">
    <w:abstractNumId w:val="45"/>
  </w:num>
  <w:num w:numId="14">
    <w:abstractNumId w:val="13"/>
  </w:num>
  <w:num w:numId="15">
    <w:abstractNumId w:val="18"/>
  </w:num>
  <w:num w:numId="16">
    <w:abstractNumId w:val="6"/>
  </w:num>
  <w:num w:numId="17">
    <w:abstractNumId w:val="38"/>
  </w:num>
  <w:num w:numId="18">
    <w:abstractNumId w:val="44"/>
  </w:num>
  <w:num w:numId="19">
    <w:abstractNumId w:val="11"/>
  </w:num>
  <w:num w:numId="20">
    <w:abstractNumId w:val="7"/>
  </w:num>
  <w:num w:numId="21">
    <w:abstractNumId w:val="46"/>
  </w:num>
  <w:num w:numId="22">
    <w:abstractNumId w:val="30"/>
  </w:num>
  <w:num w:numId="23">
    <w:abstractNumId w:val="36"/>
  </w:num>
  <w:num w:numId="24">
    <w:abstractNumId w:val="20"/>
  </w:num>
  <w:num w:numId="25">
    <w:abstractNumId w:val="14"/>
  </w:num>
  <w:num w:numId="26">
    <w:abstractNumId w:val="17"/>
  </w:num>
  <w:num w:numId="27">
    <w:abstractNumId w:val="16"/>
  </w:num>
  <w:num w:numId="28">
    <w:abstractNumId w:val="27"/>
  </w:num>
  <w:num w:numId="29">
    <w:abstractNumId w:val="33"/>
  </w:num>
  <w:num w:numId="30">
    <w:abstractNumId w:val="5"/>
  </w:num>
  <w:num w:numId="31">
    <w:abstractNumId w:val="4"/>
  </w:num>
  <w:num w:numId="32">
    <w:abstractNumId w:val="12"/>
  </w:num>
  <w:num w:numId="33">
    <w:abstractNumId w:val="9"/>
  </w:num>
  <w:num w:numId="34">
    <w:abstractNumId w:val="32"/>
  </w:num>
  <w:num w:numId="35">
    <w:abstractNumId w:val="25"/>
  </w:num>
  <w:num w:numId="36">
    <w:abstractNumId w:val="31"/>
  </w:num>
  <w:num w:numId="37">
    <w:abstractNumId w:val="47"/>
  </w:num>
  <w:num w:numId="38">
    <w:abstractNumId w:val="15"/>
  </w:num>
  <w:num w:numId="39">
    <w:abstractNumId w:val="2"/>
  </w:num>
  <w:num w:numId="40">
    <w:abstractNumId w:val="26"/>
  </w:num>
  <w:num w:numId="41">
    <w:abstractNumId w:val="24"/>
  </w:num>
  <w:num w:numId="42">
    <w:abstractNumId w:val="50"/>
  </w:num>
  <w:num w:numId="43">
    <w:abstractNumId w:val="28"/>
  </w:num>
  <w:num w:numId="44">
    <w:abstractNumId w:val="22"/>
  </w:num>
  <w:num w:numId="45">
    <w:abstractNumId w:val="52"/>
  </w:num>
  <w:num w:numId="46">
    <w:abstractNumId w:val="41"/>
  </w:num>
  <w:num w:numId="47">
    <w:abstractNumId w:val="42"/>
  </w:num>
  <w:num w:numId="48">
    <w:abstractNumId w:val="0"/>
  </w:num>
  <w:num w:numId="49">
    <w:abstractNumId w:val="3"/>
  </w:num>
  <w:num w:numId="50">
    <w:abstractNumId w:val="35"/>
  </w:num>
  <w:num w:numId="51">
    <w:abstractNumId w:val="19"/>
  </w:num>
  <w:num w:numId="52">
    <w:abstractNumId w:val="51"/>
  </w:num>
  <w:num w:numId="53">
    <w:abstractNumId w:val="23"/>
  </w:num>
  <w:num w:numId="54">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8A"/>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0C2"/>
    <w:rsid w:val="00050335"/>
    <w:rsid w:val="0005053E"/>
    <w:rsid w:val="0005055B"/>
    <w:rsid w:val="000505E0"/>
    <w:rsid w:val="00051135"/>
    <w:rsid w:val="000515F7"/>
    <w:rsid w:val="000516F5"/>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F61"/>
    <w:rsid w:val="0005602E"/>
    <w:rsid w:val="00056057"/>
    <w:rsid w:val="000572A7"/>
    <w:rsid w:val="00057388"/>
    <w:rsid w:val="00057DF9"/>
    <w:rsid w:val="00057F68"/>
    <w:rsid w:val="00057F6C"/>
    <w:rsid w:val="00060586"/>
    <w:rsid w:val="0006090A"/>
    <w:rsid w:val="00060AD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35"/>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4E0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C4C"/>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CC2"/>
    <w:rsid w:val="000C4065"/>
    <w:rsid w:val="000C4137"/>
    <w:rsid w:val="000C4493"/>
    <w:rsid w:val="000C4538"/>
    <w:rsid w:val="000C4C76"/>
    <w:rsid w:val="000C5759"/>
    <w:rsid w:val="000C5D34"/>
    <w:rsid w:val="000C5E7D"/>
    <w:rsid w:val="000C65AB"/>
    <w:rsid w:val="000C673C"/>
    <w:rsid w:val="000C69F8"/>
    <w:rsid w:val="000C6A01"/>
    <w:rsid w:val="000C71D9"/>
    <w:rsid w:val="000C7848"/>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5FAF"/>
    <w:rsid w:val="000D6752"/>
    <w:rsid w:val="000D6E27"/>
    <w:rsid w:val="000D6E96"/>
    <w:rsid w:val="000D7268"/>
    <w:rsid w:val="000D73AC"/>
    <w:rsid w:val="000D75E9"/>
    <w:rsid w:val="000D7783"/>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996"/>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07A65"/>
    <w:rsid w:val="0011034F"/>
    <w:rsid w:val="0011036F"/>
    <w:rsid w:val="00110851"/>
    <w:rsid w:val="00111494"/>
    <w:rsid w:val="001115C0"/>
    <w:rsid w:val="001115F4"/>
    <w:rsid w:val="001116D2"/>
    <w:rsid w:val="0011190B"/>
    <w:rsid w:val="00111AD9"/>
    <w:rsid w:val="00111E9A"/>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B1C"/>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07C"/>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77"/>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CEF"/>
    <w:rsid w:val="00161CF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738"/>
    <w:rsid w:val="001678E1"/>
    <w:rsid w:val="00167ACD"/>
    <w:rsid w:val="00170397"/>
    <w:rsid w:val="00170482"/>
    <w:rsid w:val="001706E4"/>
    <w:rsid w:val="00170820"/>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3D69"/>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839"/>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26B"/>
    <w:rsid w:val="001B1565"/>
    <w:rsid w:val="001B1DDF"/>
    <w:rsid w:val="001B244C"/>
    <w:rsid w:val="001B2993"/>
    <w:rsid w:val="001B29AC"/>
    <w:rsid w:val="001B2C18"/>
    <w:rsid w:val="001B35C1"/>
    <w:rsid w:val="001B3754"/>
    <w:rsid w:val="001B3A10"/>
    <w:rsid w:val="001B4371"/>
    <w:rsid w:val="001B5332"/>
    <w:rsid w:val="001B54E9"/>
    <w:rsid w:val="001B55A9"/>
    <w:rsid w:val="001B55DE"/>
    <w:rsid w:val="001B635D"/>
    <w:rsid w:val="001B661F"/>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6D5"/>
    <w:rsid w:val="001E2E7F"/>
    <w:rsid w:val="001E2EEF"/>
    <w:rsid w:val="001E3188"/>
    <w:rsid w:val="001E31D1"/>
    <w:rsid w:val="001E32BE"/>
    <w:rsid w:val="001E3A45"/>
    <w:rsid w:val="001E420B"/>
    <w:rsid w:val="001E4393"/>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2EF0"/>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0BB"/>
    <w:rsid w:val="00210174"/>
    <w:rsid w:val="0021065B"/>
    <w:rsid w:val="002109D5"/>
    <w:rsid w:val="00210A2E"/>
    <w:rsid w:val="00210B05"/>
    <w:rsid w:val="00210C84"/>
    <w:rsid w:val="00210C91"/>
    <w:rsid w:val="00210F42"/>
    <w:rsid w:val="00211042"/>
    <w:rsid w:val="00211345"/>
    <w:rsid w:val="002114FA"/>
    <w:rsid w:val="00211CA8"/>
    <w:rsid w:val="00211D31"/>
    <w:rsid w:val="00211DD9"/>
    <w:rsid w:val="002123ED"/>
    <w:rsid w:val="00212740"/>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9E"/>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21E"/>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1D9B"/>
    <w:rsid w:val="00232149"/>
    <w:rsid w:val="00232191"/>
    <w:rsid w:val="0023265F"/>
    <w:rsid w:val="0023287C"/>
    <w:rsid w:val="00232E9D"/>
    <w:rsid w:val="0023324F"/>
    <w:rsid w:val="00233B29"/>
    <w:rsid w:val="002344C8"/>
    <w:rsid w:val="002349C5"/>
    <w:rsid w:val="00234B73"/>
    <w:rsid w:val="00235581"/>
    <w:rsid w:val="00235698"/>
    <w:rsid w:val="00236850"/>
    <w:rsid w:val="00236856"/>
    <w:rsid w:val="002368CE"/>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D69"/>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21E"/>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27"/>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4EDE"/>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9DD"/>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397"/>
    <w:rsid w:val="002B159F"/>
    <w:rsid w:val="002B1939"/>
    <w:rsid w:val="002B1AFA"/>
    <w:rsid w:val="002B21D6"/>
    <w:rsid w:val="002B2C6E"/>
    <w:rsid w:val="002B2C92"/>
    <w:rsid w:val="002B3081"/>
    <w:rsid w:val="002B318B"/>
    <w:rsid w:val="002B32BC"/>
    <w:rsid w:val="002B340B"/>
    <w:rsid w:val="002B34AE"/>
    <w:rsid w:val="002B3708"/>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532"/>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92"/>
    <w:rsid w:val="002E38B7"/>
    <w:rsid w:val="002E4244"/>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5C6"/>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F3"/>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3F6"/>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9C"/>
    <w:rsid w:val="00313BC1"/>
    <w:rsid w:val="00313C4F"/>
    <w:rsid w:val="00314111"/>
    <w:rsid w:val="003141C2"/>
    <w:rsid w:val="00314CBB"/>
    <w:rsid w:val="00314FAE"/>
    <w:rsid w:val="003151F9"/>
    <w:rsid w:val="0031599D"/>
    <w:rsid w:val="00315DEC"/>
    <w:rsid w:val="00316064"/>
    <w:rsid w:val="00316842"/>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77"/>
    <w:rsid w:val="00323DEB"/>
    <w:rsid w:val="00323FAD"/>
    <w:rsid w:val="00324089"/>
    <w:rsid w:val="00324701"/>
    <w:rsid w:val="0032489D"/>
    <w:rsid w:val="003249F8"/>
    <w:rsid w:val="0032556B"/>
    <w:rsid w:val="00325981"/>
    <w:rsid w:val="0032651E"/>
    <w:rsid w:val="003267A6"/>
    <w:rsid w:val="00326880"/>
    <w:rsid w:val="00326A71"/>
    <w:rsid w:val="00326B32"/>
    <w:rsid w:val="00327167"/>
    <w:rsid w:val="003271E3"/>
    <w:rsid w:val="00327278"/>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83E"/>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7CE"/>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402"/>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58"/>
    <w:rsid w:val="00363FC9"/>
    <w:rsid w:val="00365023"/>
    <w:rsid w:val="00365644"/>
    <w:rsid w:val="0036590C"/>
    <w:rsid w:val="00365D89"/>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0D1"/>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1860"/>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4F1"/>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70C"/>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8FF"/>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161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ACB"/>
    <w:rsid w:val="003C6CCB"/>
    <w:rsid w:val="003C6DA9"/>
    <w:rsid w:val="003C7855"/>
    <w:rsid w:val="003C7BEC"/>
    <w:rsid w:val="003D0240"/>
    <w:rsid w:val="003D06A7"/>
    <w:rsid w:val="003D0868"/>
    <w:rsid w:val="003D09DA"/>
    <w:rsid w:val="003D0D75"/>
    <w:rsid w:val="003D15D5"/>
    <w:rsid w:val="003D1CD0"/>
    <w:rsid w:val="003D1F11"/>
    <w:rsid w:val="003D22AC"/>
    <w:rsid w:val="003D2339"/>
    <w:rsid w:val="003D26AA"/>
    <w:rsid w:val="003D2AB4"/>
    <w:rsid w:val="003D2E43"/>
    <w:rsid w:val="003D3AD8"/>
    <w:rsid w:val="003D3EE3"/>
    <w:rsid w:val="003D3FA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0BC"/>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A0"/>
    <w:rsid w:val="004017C6"/>
    <w:rsid w:val="00401DFC"/>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3D4"/>
    <w:rsid w:val="00406412"/>
    <w:rsid w:val="00406589"/>
    <w:rsid w:val="004066D6"/>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99B"/>
    <w:rsid w:val="00421EC6"/>
    <w:rsid w:val="00422103"/>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26"/>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685"/>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6EC"/>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096"/>
    <w:rsid w:val="0045169D"/>
    <w:rsid w:val="004518D5"/>
    <w:rsid w:val="00451B06"/>
    <w:rsid w:val="00451BEB"/>
    <w:rsid w:val="004520FE"/>
    <w:rsid w:val="004527C0"/>
    <w:rsid w:val="00452D50"/>
    <w:rsid w:val="00453871"/>
    <w:rsid w:val="00453980"/>
    <w:rsid w:val="00453BB4"/>
    <w:rsid w:val="00453DEF"/>
    <w:rsid w:val="00454023"/>
    <w:rsid w:val="004540AC"/>
    <w:rsid w:val="004543E4"/>
    <w:rsid w:val="004548E5"/>
    <w:rsid w:val="00454ACD"/>
    <w:rsid w:val="00454E44"/>
    <w:rsid w:val="00454F08"/>
    <w:rsid w:val="00454F85"/>
    <w:rsid w:val="00455105"/>
    <w:rsid w:val="0045548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6FB"/>
    <w:rsid w:val="00463F17"/>
    <w:rsid w:val="0046400B"/>
    <w:rsid w:val="004641A0"/>
    <w:rsid w:val="0046434B"/>
    <w:rsid w:val="00464A82"/>
    <w:rsid w:val="00464EE0"/>
    <w:rsid w:val="00465158"/>
    <w:rsid w:val="00465180"/>
    <w:rsid w:val="00465235"/>
    <w:rsid w:val="00465467"/>
    <w:rsid w:val="00465573"/>
    <w:rsid w:val="00465A81"/>
    <w:rsid w:val="00465EB3"/>
    <w:rsid w:val="00467C6E"/>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326"/>
    <w:rsid w:val="004774C5"/>
    <w:rsid w:val="004775ED"/>
    <w:rsid w:val="004778C0"/>
    <w:rsid w:val="00477B60"/>
    <w:rsid w:val="00477C66"/>
    <w:rsid w:val="0048032D"/>
    <w:rsid w:val="00480745"/>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C36"/>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5ED1"/>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992"/>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291"/>
    <w:rsid w:val="004F4E53"/>
    <w:rsid w:val="004F58AB"/>
    <w:rsid w:val="004F5D4A"/>
    <w:rsid w:val="004F5D6E"/>
    <w:rsid w:val="004F5EBB"/>
    <w:rsid w:val="004F6142"/>
    <w:rsid w:val="004F659D"/>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DC"/>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32B"/>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EA"/>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96C"/>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53A"/>
    <w:rsid w:val="00553777"/>
    <w:rsid w:val="00553A48"/>
    <w:rsid w:val="00553ABB"/>
    <w:rsid w:val="0055410A"/>
    <w:rsid w:val="005546A4"/>
    <w:rsid w:val="005547CB"/>
    <w:rsid w:val="00554DF7"/>
    <w:rsid w:val="005552B9"/>
    <w:rsid w:val="00555512"/>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9F4"/>
    <w:rsid w:val="00580CE6"/>
    <w:rsid w:val="00580F52"/>
    <w:rsid w:val="00581081"/>
    <w:rsid w:val="005815D2"/>
    <w:rsid w:val="00581818"/>
    <w:rsid w:val="005818D4"/>
    <w:rsid w:val="0058193A"/>
    <w:rsid w:val="005819D7"/>
    <w:rsid w:val="00581AB8"/>
    <w:rsid w:val="00581C6E"/>
    <w:rsid w:val="00581F40"/>
    <w:rsid w:val="005829CC"/>
    <w:rsid w:val="00582E3D"/>
    <w:rsid w:val="00583084"/>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64B"/>
    <w:rsid w:val="005908BF"/>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1E77"/>
    <w:rsid w:val="005B2899"/>
    <w:rsid w:val="005B2DA2"/>
    <w:rsid w:val="005B2EB8"/>
    <w:rsid w:val="005B3505"/>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5B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1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3EE"/>
    <w:rsid w:val="005D24A2"/>
    <w:rsid w:val="005D25D7"/>
    <w:rsid w:val="005D2A49"/>
    <w:rsid w:val="005D2CB0"/>
    <w:rsid w:val="005D2EE8"/>
    <w:rsid w:val="005D3534"/>
    <w:rsid w:val="005D3707"/>
    <w:rsid w:val="005D382F"/>
    <w:rsid w:val="005D389B"/>
    <w:rsid w:val="005D3AF0"/>
    <w:rsid w:val="005D3BFD"/>
    <w:rsid w:val="005D46E9"/>
    <w:rsid w:val="005D5012"/>
    <w:rsid w:val="005D5C7D"/>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C22"/>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424"/>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6F7C"/>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7C"/>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4B6"/>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46E7"/>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95"/>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B0D"/>
    <w:rsid w:val="00672E1F"/>
    <w:rsid w:val="00672F51"/>
    <w:rsid w:val="006735BC"/>
    <w:rsid w:val="00673BDE"/>
    <w:rsid w:val="00673EB7"/>
    <w:rsid w:val="00673FBF"/>
    <w:rsid w:val="006740F1"/>
    <w:rsid w:val="0067439E"/>
    <w:rsid w:val="00674460"/>
    <w:rsid w:val="006746E2"/>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7BF"/>
    <w:rsid w:val="006A18DD"/>
    <w:rsid w:val="006A20BD"/>
    <w:rsid w:val="006A21CE"/>
    <w:rsid w:val="006A2312"/>
    <w:rsid w:val="006A2347"/>
    <w:rsid w:val="006A24B3"/>
    <w:rsid w:val="006A29BF"/>
    <w:rsid w:val="006A2BF5"/>
    <w:rsid w:val="006A2D0E"/>
    <w:rsid w:val="006A2E66"/>
    <w:rsid w:val="006A3227"/>
    <w:rsid w:val="006A3396"/>
    <w:rsid w:val="006A351E"/>
    <w:rsid w:val="006A3F94"/>
    <w:rsid w:val="006A3FC1"/>
    <w:rsid w:val="006A40D0"/>
    <w:rsid w:val="006A4113"/>
    <w:rsid w:val="006A49B5"/>
    <w:rsid w:val="006A4AB6"/>
    <w:rsid w:val="006A4F1A"/>
    <w:rsid w:val="006A4FF3"/>
    <w:rsid w:val="006A540C"/>
    <w:rsid w:val="006A5A45"/>
    <w:rsid w:val="006A5CA3"/>
    <w:rsid w:val="006A5D5C"/>
    <w:rsid w:val="006A5E26"/>
    <w:rsid w:val="006A5F25"/>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BD"/>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2969"/>
    <w:rsid w:val="006C3309"/>
    <w:rsid w:val="006C375B"/>
    <w:rsid w:val="006C3FF3"/>
    <w:rsid w:val="006C41ED"/>
    <w:rsid w:val="006C44D3"/>
    <w:rsid w:val="006C45C1"/>
    <w:rsid w:val="006C4B11"/>
    <w:rsid w:val="006C4D69"/>
    <w:rsid w:val="006C4E89"/>
    <w:rsid w:val="006C50C3"/>
    <w:rsid w:val="006C51A3"/>
    <w:rsid w:val="006C54AC"/>
    <w:rsid w:val="006C566C"/>
    <w:rsid w:val="006C57EC"/>
    <w:rsid w:val="006C59A0"/>
    <w:rsid w:val="006C5C20"/>
    <w:rsid w:val="006C5FF1"/>
    <w:rsid w:val="006C6287"/>
    <w:rsid w:val="006C65BE"/>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329"/>
    <w:rsid w:val="006D5457"/>
    <w:rsid w:val="006D56B0"/>
    <w:rsid w:val="006D59BF"/>
    <w:rsid w:val="006D5A62"/>
    <w:rsid w:val="006D5EC2"/>
    <w:rsid w:val="006D5F19"/>
    <w:rsid w:val="006D5FEF"/>
    <w:rsid w:val="006D667A"/>
    <w:rsid w:val="006D6DE7"/>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62B"/>
    <w:rsid w:val="006E3316"/>
    <w:rsid w:val="006E3D3A"/>
    <w:rsid w:val="006E3E30"/>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A30"/>
    <w:rsid w:val="006F6FEA"/>
    <w:rsid w:val="006F70E1"/>
    <w:rsid w:val="006F7427"/>
    <w:rsid w:val="006F746D"/>
    <w:rsid w:val="006F768A"/>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6C3E"/>
    <w:rsid w:val="007072C8"/>
    <w:rsid w:val="0070743B"/>
    <w:rsid w:val="00707CC2"/>
    <w:rsid w:val="00707EC9"/>
    <w:rsid w:val="007101EE"/>
    <w:rsid w:val="00710994"/>
    <w:rsid w:val="007109CD"/>
    <w:rsid w:val="00710A3E"/>
    <w:rsid w:val="00710C4C"/>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7E5"/>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1FD"/>
    <w:rsid w:val="0072560E"/>
    <w:rsid w:val="00725CB6"/>
    <w:rsid w:val="00725CDC"/>
    <w:rsid w:val="00726281"/>
    <w:rsid w:val="007263AD"/>
    <w:rsid w:val="0072650B"/>
    <w:rsid w:val="00726537"/>
    <w:rsid w:val="0072665F"/>
    <w:rsid w:val="00726D29"/>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CC"/>
    <w:rsid w:val="007377ED"/>
    <w:rsid w:val="007379C8"/>
    <w:rsid w:val="0074053A"/>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1F1"/>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90B"/>
    <w:rsid w:val="007700C8"/>
    <w:rsid w:val="007702AC"/>
    <w:rsid w:val="00770CEE"/>
    <w:rsid w:val="0077115B"/>
    <w:rsid w:val="007721AD"/>
    <w:rsid w:val="00772215"/>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C7C"/>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DD5"/>
    <w:rsid w:val="00792ECC"/>
    <w:rsid w:val="00793774"/>
    <w:rsid w:val="00793901"/>
    <w:rsid w:val="007939C7"/>
    <w:rsid w:val="00793F70"/>
    <w:rsid w:val="00794221"/>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C09"/>
    <w:rsid w:val="007A22D6"/>
    <w:rsid w:val="007A2BFF"/>
    <w:rsid w:val="007A2D56"/>
    <w:rsid w:val="007A3226"/>
    <w:rsid w:val="007A32E9"/>
    <w:rsid w:val="007A3395"/>
    <w:rsid w:val="007A3505"/>
    <w:rsid w:val="007A3BF2"/>
    <w:rsid w:val="007A4338"/>
    <w:rsid w:val="007A4AF1"/>
    <w:rsid w:val="007A5288"/>
    <w:rsid w:val="007A5762"/>
    <w:rsid w:val="007A591F"/>
    <w:rsid w:val="007A5C80"/>
    <w:rsid w:val="007A5F87"/>
    <w:rsid w:val="007A6053"/>
    <w:rsid w:val="007A618D"/>
    <w:rsid w:val="007A6256"/>
    <w:rsid w:val="007A6333"/>
    <w:rsid w:val="007A6477"/>
    <w:rsid w:val="007A650C"/>
    <w:rsid w:val="007A675A"/>
    <w:rsid w:val="007A6909"/>
    <w:rsid w:val="007A6A76"/>
    <w:rsid w:val="007A6B8A"/>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4B"/>
    <w:rsid w:val="007C3D88"/>
    <w:rsid w:val="007C3EE5"/>
    <w:rsid w:val="007C3F14"/>
    <w:rsid w:val="007C450E"/>
    <w:rsid w:val="007C46E3"/>
    <w:rsid w:val="007C508D"/>
    <w:rsid w:val="007C50E5"/>
    <w:rsid w:val="007C515A"/>
    <w:rsid w:val="007C52ED"/>
    <w:rsid w:val="007C52F0"/>
    <w:rsid w:val="007C56CE"/>
    <w:rsid w:val="007C5CE6"/>
    <w:rsid w:val="007C5D89"/>
    <w:rsid w:val="007C5DB6"/>
    <w:rsid w:val="007C64BC"/>
    <w:rsid w:val="007C67D6"/>
    <w:rsid w:val="007C6939"/>
    <w:rsid w:val="007C6941"/>
    <w:rsid w:val="007C6D8A"/>
    <w:rsid w:val="007C6D9E"/>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564"/>
    <w:rsid w:val="007E2B64"/>
    <w:rsid w:val="007E2B9D"/>
    <w:rsid w:val="007E2F0E"/>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0F2A"/>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B74"/>
    <w:rsid w:val="007F5D4A"/>
    <w:rsid w:val="007F6020"/>
    <w:rsid w:val="007F619B"/>
    <w:rsid w:val="007F6562"/>
    <w:rsid w:val="007F65F2"/>
    <w:rsid w:val="007F6772"/>
    <w:rsid w:val="007F6AD2"/>
    <w:rsid w:val="007F6CF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A12"/>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214"/>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030"/>
    <w:rsid w:val="00826204"/>
    <w:rsid w:val="008263E0"/>
    <w:rsid w:val="00826D90"/>
    <w:rsid w:val="00827015"/>
    <w:rsid w:val="00827109"/>
    <w:rsid w:val="008272E9"/>
    <w:rsid w:val="00827A41"/>
    <w:rsid w:val="00827AF3"/>
    <w:rsid w:val="00831574"/>
    <w:rsid w:val="0083179C"/>
    <w:rsid w:val="00832142"/>
    <w:rsid w:val="00832C18"/>
    <w:rsid w:val="00832CA7"/>
    <w:rsid w:val="00832CAF"/>
    <w:rsid w:val="0083311A"/>
    <w:rsid w:val="008331BB"/>
    <w:rsid w:val="008333BB"/>
    <w:rsid w:val="0083417A"/>
    <w:rsid w:val="00834334"/>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901"/>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70A4"/>
    <w:rsid w:val="00847964"/>
    <w:rsid w:val="00847991"/>
    <w:rsid w:val="00847C4E"/>
    <w:rsid w:val="00847F69"/>
    <w:rsid w:val="0085032D"/>
    <w:rsid w:val="00850AAF"/>
    <w:rsid w:val="00850AE8"/>
    <w:rsid w:val="00850B13"/>
    <w:rsid w:val="00850BF6"/>
    <w:rsid w:val="00851B22"/>
    <w:rsid w:val="00852338"/>
    <w:rsid w:val="008523A3"/>
    <w:rsid w:val="00852AA6"/>
    <w:rsid w:val="00853C45"/>
    <w:rsid w:val="00854090"/>
    <w:rsid w:val="008540C8"/>
    <w:rsid w:val="00854983"/>
    <w:rsid w:val="00854A0C"/>
    <w:rsid w:val="00854A91"/>
    <w:rsid w:val="00854E0E"/>
    <w:rsid w:val="00855878"/>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837"/>
    <w:rsid w:val="00863AA0"/>
    <w:rsid w:val="00864A9F"/>
    <w:rsid w:val="00864C02"/>
    <w:rsid w:val="00864CE0"/>
    <w:rsid w:val="00864F2D"/>
    <w:rsid w:val="008650AB"/>
    <w:rsid w:val="00865696"/>
    <w:rsid w:val="00865D02"/>
    <w:rsid w:val="00865D4C"/>
    <w:rsid w:val="00865DE1"/>
    <w:rsid w:val="00866046"/>
    <w:rsid w:val="00866BFD"/>
    <w:rsid w:val="00866FEA"/>
    <w:rsid w:val="00867255"/>
    <w:rsid w:val="008678F0"/>
    <w:rsid w:val="00867B7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692"/>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7E0"/>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1A0"/>
    <w:rsid w:val="008A0339"/>
    <w:rsid w:val="008A03A0"/>
    <w:rsid w:val="008A0473"/>
    <w:rsid w:val="008A04C7"/>
    <w:rsid w:val="008A1C65"/>
    <w:rsid w:val="008A1EA1"/>
    <w:rsid w:val="008A1FBC"/>
    <w:rsid w:val="008A23BF"/>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CAF"/>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690"/>
    <w:rsid w:val="008C18DB"/>
    <w:rsid w:val="008C2135"/>
    <w:rsid w:val="008C2236"/>
    <w:rsid w:val="008C2426"/>
    <w:rsid w:val="008C2453"/>
    <w:rsid w:val="008C26B4"/>
    <w:rsid w:val="008C2767"/>
    <w:rsid w:val="008C2A46"/>
    <w:rsid w:val="008C2BC8"/>
    <w:rsid w:val="008C2FF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D9E"/>
    <w:rsid w:val="008E0E89"/>
    <w:rsid w:val="008E0E8C"/>
    <w:rsid w:val="008E1217"/>
    <w:rsid w:val="008E1282"/>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7F"/>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F07"/>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82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435"/>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72C"/>
    <w:rsid w:val="00940A5D"/>
    <w:rsid w:val="00940BCB"/>
    <w:rsid w:val="00940D76"/>
    <w:rsid w:val="00940D85"/>
    <w:rsid w:val="00940DF4"/>
    <w:rsid w:val="00940FB5"/>
    <w:rsid w:val="00941259"/>
    <w:rsid w:val="0094148B"/>
    <w:rsid w:val="00941A1C"/>
    <w:rsid w:val="00941B97"/>
    <w:rsid w:val="00941E13"/>
    <w:rsid w:val="00941E9B"/>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5DB2"/>
    <w:rsid w:val="0096602A"/>
    <w:rsid w:val="0096691D"/>
    <w:rsid w:val="00966EC4"/>
    <w:rsid w:val="0096766C"/>
    <w:rsid w:val="00967851"/>
    <w:rsid w:val="00967D2D"/>
    <w:rsid w:val="00970C36"/>
    <w:rsid w:val="00970F7A"/>
    <w:rsid w:val="00970FE3"/>
    <w:rsid w:val="00971C7D"/>
    <w:rsid w:val="00971EC5"/>
    <w:rsid w:val="00971F6B"/>
    <w:rsid w:val="00971FCC"/>
    <w:rsid w:val="00972562"/>
    <w:rsid w:val="0097281F"/>
    <w:rsid w:val="0097285C"/>
    <w:rsid w:val="0097298A"/>
    <w:rsid w:val="009729B3"/>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A94"/>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163"/>
    <w:rsid w:val="0099647E"/>
    <w:rsid w:val="0099682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48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C41"/>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A3A"/>
    <w:rsid w:val="009C3D88"/>
    <w:rsid w:val="009C42A3"/>
    <w:rsid w:val="009C4B76"/>
    <w:rsid w:val="009C509F"/>
    <w:rsid w:val="009C520B"/>
    <w:rsid w:val="009C5785"/>
    <w:rsid w:val="009C5787"/>
    <w:rsid w:val="009C5874"/>
    <w:rsid w:val="009C6331"/>
    <w:rsid w:val="009C6768"/>
    <w:rsid w:val="009C6894"/>
    <w:rsid w:val="009C6B3B"/>
    <w:rsid w:val="009C6B7B"/>
    <w:rsid w:val="009C6E93"/>
    <w:rsid w:val="009C73C4"/>
    <w:rsid w:val="009C752F"/>
    <w:rsid w:val="009C7CE4"/>
    <w:rsid w:val="009C7F47"/>
    <w:rsid w:val="009D008A"/>
    <w:rsid w:val="009D0361"/>
    <w:rsid w:val="009D0513"/>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4D6"/>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E7F22"/>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B70"/>
    <w:rsid w:val="009F7C2E"/>
    <w:rsid w:val="00A0018E"/>
    <w:rsid w:val="00A004F2"/>
    <w:rsid w:val="00A00B60"/>
    <w:rsid w:val="00A00C1B"/>
    <w:rsid w:val="00A01006"/>
    <w:rsid w:val="00A0260F"/>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A7"/>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A8E"/>
    <w:rsid w:val="00A3017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9E3"/>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1EA"/>
    <w:rsid w:val="00A532E0"/>
    <w:rsid w:val="00A53533"/>
    <w:rsid w:val="00A53E65"/>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19"/>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4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B3C"/>
    <w:rsid w:val="00A74E04"/>
    <w:rsid w:val="00A74F6C"/>
    <w:rsid w:val="00A74FCF"/>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ACE"/>
    <w:rsid w:val="00A90E27"/>
    <w:rsid w:val="00A90F82"/>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182"/>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B7C54"/>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67"/>
    <w:rsid w:val="00AC5F7E"/>
    <w:rsid w:val="00AC61B3"/>
    <w:rsid w:val="00AC63F4"/>
    <w:rsid w:val="00AC6786"/>
    <w:rsid w:val="00AC7470"/>
    <w:rsid w:val="00AC7DE9"/>
    <w:rsid w:val="00AD01BF"/>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606"/>
    <w:rsid w:val="00AE7751"/>
    <w:rsid w:val="00AE77DE"/>
    <w:rsid w:val="00AE780C"/>
    <w:rsid w:val="00AE7992"/>
    <w:rsid w:val="00AE7BBF"/>
    <w:rsid w:val="00AF029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46"/>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48D"/>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72"/>
    <w:rsid w:val="00B42879"/>
    <w:rsid w:val="00B430D3"/>
    <w:rsid w:val="00B436F6"/>
    <w:rsid w:val="00B437BD"/>
    <w:rsid w:val="00B43985"/>
    <w:rsid w:val="00B439FA"/>
    <w:rsid w:val="00B43D4D"/>
    <w:rsid w:val="00B440CF"/>
    <w:rsid w:val="00B4418B"/>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3FA5"/>
    <w:rsid w:val="00B54126"/>
    <w:rsid w:val="00B542BA"/>
    <w:rsid w:val="00B54989"/>
    <w:rsid w:val="00B54CC5"/>
    <w:rsid w:val="00B54E8B"/>
    <w:rsid w:val="00B553CF"/>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3FC8"/>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1"/>
    <w:rsid w:val="00B86AD8"/>
    <w:rsid w:val="00B86D87"/>
    <w:rsid w:val="00B871D4"/>
    <w:rsid w:val="00B87AF3"/>
    <w:rsid w:val="00B87C60"/>
    <w:rsid w:val="00B90165"/>
    <w:rsid w:val="00B911E8"/>
    <w:rsid w:val="00B91356"/>
    <w:rsid w:val="00B91A54"/>
    <w:rsid w:val="00B91B24"/>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3D1"/>
    <w:rsid w:val="00BB740F"/>
    <w:rsid w:val="00BB7DB1"/>
    <w:rsid w:val="00BC0AE6"/>
    <w:rsid w:val="00BC1293"/>
    <w:rsid w:val="00BC14D9"/>
    <w:rsid w:val="00BC160C"/>
    <w:rsid w:val="00BC16BF"/>
    <w:rsid w:val="00BC1B4B"/>
    <w:rsid w:val="00BC201A"/>
    <w:rsid w:val="00BC2BC7"/>
    <w:rsid w:val="00BC2F45"/>
    <w:rsid w:val="00BC344E"/>
    <w:rsid w:val="00BC38B8"/>
    <w:rsid w:val="00BC3CF8"/>
    <w:rsid w:val="00BC4B9C"/>
    <w:rsid w:val="00BC4D50"/>
    <w:rsid w:val="00BC501C"/>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17E"/>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7C0"/>
    <w:rsid w:val="00BE3AFA"/>
    <w:rsid w:val="00BE3F52"/>
    <w:rsid w:val="00BE403F"/>
    <w:rsid w:val="00BE45C1"/>
    <w:rsid w:val="00BE51C7"/>
    <w:rsid w:val="00BE5515"/>
    <w:rsid w:val="00BE5613"/>
    <w:rsid w:val="00BE5813"/>
    <w:rsid w:val="00BE5C7E"/>
    <w:rsid w:val="00BE6038"/>
    <w:rsid w:val="00BE65B3"/>
    <w:rsid w:val="00BE68B9"/>
    <w:rsid w:val="00BE6E44"/>
    <w:rsid w:val="00BE7265"/>
    <w:rsid w:val="00BE7B27"/>
    <w:rsid w:val="00BF02E6"/>
    <w:rsid w:val="00BF04B1"/>
    <w:rsid w:val="00BF0963"/>
    <w:rsid w:val="00BF0A66"/>
    <w:rsid w:val="00BF0CB3"/>
    <w:rsid w:val="00BF10D2"/>
    <w:rsid w:val="00BF10D6"/>
    <w:rsid w:val="00BF120B"/>
    <w:rsid w:val="00BF1232"/>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A1"/>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3D6"/>
    <w:rsid w:val="00C1283A"/>
    <w:rsid w:val="00C12EB5"/>
    <w:rsid w:val="00C1328A"/>
    <w:rsid w:val="00C13504"/>
    <w:rsid w:val="00C13C8A"/>
    <w:rsid w:val="00C13F22"/>
    <w:rsid w:val="00C13F92"/>
    <w:rsid w:val="00C140FE"/>
    <w:rsid w:val="00C14346"/>
    <w:rsid w:val="00C14691"/>
    <w:rsid w:val="00C1473E"/>
    <w:rsid w:val="00C14EF8"/>
    <w:rsid w:val="00C15135"/>
    <w:rsid w:val="00C159ED"/>
    <w:rsid w:val="00C15C69"/>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3B82"/>
    <w:rsid w:val="00C2423A"/>
    <w:rsid w:val="00C244D8"/>
    <w:rsid w:val="00C24789"/>
    <w:rsid w:val="00C24EE5"/>
    <w:rsid w:val="00C250CF"/>
    <w:rsid w:val="00C2544D"/>
    <w:rsid w:val="00C26871"/>
    <w:rsid w:val="00C2695A"/>
    <w:rsid w:val="00C26EB2"/>
    <w:rsid w:val="00C27156"/>
    <w:rsid w:val="00C27410"/>
    <w:rsid w:val="00C274BE"/>
    <w:rsid w:val="00C275D9"/>
    <w:rsid w:val="00C2769D"/>
    <w:rsid w:val="00C27CD4"/>
    <w:rsid w:val="00C27E49"/>
    <w:rsid w:val="00C307FA"/>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AB"/>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B56"/>
    <w:rsid w:val="00C53E22"/>
    <w:rsid w:val="00C54C14"/>
    <w:rsid w:val="00C54C62"/>
    <w:rsid w:val="00C54CBD"/>
    <w:rsid w:val="00C54CDD"/>
    <w:rsid w:val="00C5589B"/>
    <w:rsid w:val="00C55A58"/>
    <w:rsid w:val="00C55E23"/>
    <w:rsid w:val="00C5638E"/>
    <w:rsid w:val="00C56918"/>
    <w:rsid w:val="00C569CA"/>
    <w:rsid w:val="00C56F7A"/>
    <w:rsid w:val="00C5733A"/>
    <w:rsid w:val="00C573B4"/>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6E7"/>
    <w:rsid w:val="00C70B8C"/>
    <w:rsid w:val="00C71082"/>
    <w:rsid w:val="00C71327"/>
    <w:rsid w:val="00C71468"/>
    <w:rsid w:val="00C723AF"/>
    <w:rsid w:val="00C723CA"/>
    <w:rsid w:val="00C72681"/>
    <w:rsid w:val="00C7271F"/>
    <w:rsid w:val="00C72B80"/>
    <w:rsid w:val="00C72E5F"/>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26DE"/>
    <w:rsid w:val="00C831FC"/>
    <w:rsid w:val="00C8395C"/>
    <w:rsid w:val="00C83D50"/>
    <w:rsid w:val="00C84231"/>
    <w:rsid w:val="00C847C8"/>
    <w:rsid w:val="00C84D5A"/>
    <w:rsid w:val="00C85034"/>
    <w:rsid w:val="00C8534D"/>
    <w:rsid w:val="00C85F12"/>
    <w:rsid w:val="00C85F75"/>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9FD"/>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1C1"/>
    <w:rsid w:val="00C97572"/>
    <w:rsid w:val="00C9785E"/>
    <w:rsid w:val="00C97AF1"/>
    <w:rsid w:val="00C97D77"/>
    <w:rsid w:val="00CA09AA"/>
    <w:rsid w:val="00CA0FCC"/>
    <w:rsid w:val="00CA114D"/>
    <w:rsid w:val="00CA1225"/>
    <w:rsid w:val="00CA18D2"/>
    <w:rsid w:val="00CA1F8F"/>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6706"/>
    <w:rsid w:val="00CB7648"/>
    <w:rsid w:val="00CB79A4"/>
    <w:rsid w:val="00CB7B6B"/>
    <w:rsid w:val="00CB7F5F"/>
    <w:rsid w:val="00CC00B7"/>
    <w:rsid w:val="00CC034B"/>
    <w:rsid w:val="00CC07BA"/>
    <w:rsid w:val="00CC099A"/>
    <w:rsid w:val="00CC0AA7"/>
    <w:rsid w:val="00CC0E56"/>
    <w:rsid w:val="00CC0FD2"/>
    <w:rsid w:val="00CC124C"/>
    <w:rsid w:val="00CC1555"/>
    <w:rsid w:val="00CC172A"/>
    <w:rsid w:val="00CC1A18"/>
    <w:rsid w:val="00CC1D2E"/>
    <w:rsid w:val="00CC1E3E"/>
    <w:rsid w:val="00CC1E40"/>
    <w:rsid w:val="00CC20E2"/>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6A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49C"/>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B70"/>
    <w:rsid w:val="00CD5C02"/>
    <w:rsid w:val="00CD5D92"/>
    <w:rsid w:val="00CD5F80"/>
    <w:rsid w:val="00CD61E3"/>
    <w:rsid w:val="00CD6823"/>
    <w:rsid w:val="00CD6D63"/>
    <w:rsid w:val="00CD6E0B"/>
    <w:rsid w:val="00CD6F64"/>
    <w:rsid w:val="00CD7135"/>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05"/>
    <w:rsid w:val="00CE6E24"/>
    <w:rsid w:val="00CE7392"/>
    <w:rsid w:val="00CE76BD"/>
    <w:rsid w:val="00CE781A"/>
    <w:rsid w:val="00CF0131"/>
    <w:rsid w:val="00CF02AC"/>
    <w:rsid w:val="00CF03CB"/>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6DB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672"/>
    <w:rsid w:val="00D20DBB"/>
    <w:rsid w:val="00D214BC"/>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4E0"/>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A1F"/>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AD8"/>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420"/>
    <w:rsid w:val="00D72BDC"/>
    <w:rsid w:val="00D73118"/>
    <w:rsid w:val="00D73347"/>
    <w:rsid w:val="00D7364D"/>
    <w:rsid w:val="00D73A3C"/>
    <w:rsid w:val="00D73A6B"/>
    <w:rsid w:val="00D73DAD"/>
    <w:rsid w:val="00D73E0D"/>
    <w:rsid w:val="00D74461"/>
    <w:rsid w:val="00D7470B"/>
    <w:rsid w:val="00D74AF7"/>
    <w:rsid w:val="00D74CED"/>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04"/>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5C"/>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CA8"/>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5"/>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1B7"/>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3B43"/>
    <w:rsid w:val="00E14262"/>
    <w:rsid w:val="00E143F1"/>
    <w:rsid w:val="00E145A7"/>
    <w:rsid w:val="00E145E0"/>
    <w:rsid w:val="00E147E5"/>
    <w:rsid w:val="00E14913"/>
    <w:rsid w:val="00E149D5"/>
    <w:rsid w:val="00E150B1"/>
    <w:rsid w:val="00E15352"/>
    <w:rsid w:val="00E153A7"/>
    <w:rsid w:val="00E154A1"/>
    <w:rsid w:val="00E15BC7"/>
    <w:rsid w:val="00E15ED2"/>
    <w:rsid w:val="00E164E8"/>
    <w:rsid w:val="00E1654E"/>
    <w:rsid w:val="00E167D4"/>
    <w:rsid w:val="00E172D5"/>
    <w:rsid w:val="00E175FF"/>
    <w:rsid w:val="00E17C3F"/>
    <w:rsid w:val="00E17CFB"/>
    <w:rsid w:val="00E20000"/>
    <w:rsid w:val="00E200EF"/>
    <w:rsid w:val="00E201E3"/>
    <w:rsid w:val="00E20424"/>
    <w:rsid w:val="00E20474"/>
    <w:rsid w:val="00E20661"/>
    <w:rsid w:val="00E20770"/>
    <w:rsid w:val="00E20855"/>
    <w:rsid w:val="00E20862"/>
    <w:rsid w:val="00E20AD1"/>
    <w:rsid w:val="00E214FB"/>
    <w:rsid w:val="00E216A5"/>
    <w:rsid w:val="00E21FA9"/>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0DE9"/>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3E6C"/>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450"/>
    <w:rsid w:val="00E41834"/>
    <w:rsid w:val="00E41BAC"/>
    <w:rsid w:val="00E41FEC"/>
    <w:rsid w:val="00E4232F"/>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CF"/>
    <w:rsid w:val="00E643D0"/>
    <w:rsid w:val="00E64763"/>
    <w:rsid w:val="00E647DC"/>
    <w:rsid w:val="00E6484F"/>
    <w:rsid w:val="00E64B4F"/>
    <w:rsid w:val="00E65A35"/>
    <w:rsid w:val="00E65E6B"/>
    <w:rsid w:val="00E6640D"/>
    <w:rsid w:val="00E6666C"/>
    <w:rsid w:val="00E666A1"/>
    <w:rsid w:val="00E6682F"/>
    <w:rsid w:val="00E6713B"/>
    <w:rsid w:val="00E67631"/>
    <w:rsid w:val="00E679FD"/>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C13"/>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27F6"/>
    <w:rsid w:val="00EA35CC"/>
    <w:rsid w:val="00EA3641"/>
    <w:rsid w:val="00EA3D67"/>
    <w:rsid w:val="00EA3DB9"/>
    <w:rsid w:val="00EA475F"/>
    <w:rsid w:val="00EA4A36"/>
    <w:rsid w:val="00EA5014"/>
    <w:rsid w:val="00EA5029"/>
    <w:rsid w:val="00EA5335"/>
    <w:rsid w:val="00EA54B2"/>
    <w:rsid w:val="00EA630B"/>
    <w:rsid w:val="00EA6E29"/>
    <w:rsid w:val="00EA6FAE"/>
    <w:rsid w:val="00EA7B1C"/>
    <w:rsid w:val="00EA7CE6"/>
    <w:rsid w:val="00EA7D04"/>
    <w:rsid w:val="00EA7E15"/>
    <w:rsid w:val="00EA7E9E"/>
    <w:rsid w:val="00EA7EF5"/>
    <w:rsid w:val="00EA7F1F"/>
    <w:rsid w:val="00EB05DC"/>
    <w:rsid w:val="00EB1705"/>
    <w:rsid w:val="00EB2435"/>
    <w:rsid w:val="00EB269A"/>
    <w:rsid w:val="00EB2814"/>
    <w:rsid w:val="00EB296A"/>
    <w:rsid w:val="00EB3495"/>
    <w:rsid w:val="00EB3828"/>
    <w:rsid w:val="00EB3953"/>
    <w:rsid w:val="00EB3B4B"/>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642"/>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D51"/>
    <w:rsid w:val="00F05EED"/>
    <w:rsid w:val="00F068D2"/>
    <w:rsid w:val="00F06ED1"/>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71F"/>
    <w:rsid w:val="00F20F5B"/>
    <w:rsid w:val="00F21048"/>
    <w:rsid w:val="00F210AB"/>
    <w:rsid w:val="00F2157F"/>
    <w:rsid w:val="00F21758"/>
    <w:rsid w:val="00F21857"/>
    <w:rsid w:val="00F218EF"/>
    <w:rsid w:val="00F21DC3"/>
    <w:rsid w:val="00F21F61"/>
    <w:rsid w:val="00F22444"/>
    <w:rsid w:val="00F22AF6"/>
    <w:rsid w:val="00F22C96"/>
    <w:rsid w:val="00F22FC1"/>
    <w:rsid w:val="00F2312E"/>
    <w:rsid w:val="00F2357F"/>
    <w:rsid w:val="00F23BD0"/>
    <w:rsid w:val="00F23D7A"/>
    <w:rsid w:val="00F23EAE"/>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624"/>
    <w:rsid w:val="00F35865"/>
    <w:rsid w:val="00F35E92"/>
    <w:rsid w:val="00F360BA"/>
    <w:rsid w:val="00F366CE"/>
    <w:rsid w:val="00F369FF"/>
    <w:rsid w:val="00F36B72"/>
    <w:rsid w:val="00F377A2"/>
    <w:rsid w:val="00F37922"/>
    <w:rsid w:val="00F37AEF"/>
    <w:rsid w:val="00F37C39"/>
    <w:rsid w:val="00F37DC6"/>
    <w:rsid w:val="00F37E70"/>
    <w:rsid w:val="00F40625"/>
    <w:rsid w:val="00F40C88"/>
    <w:rsid w:val="00F413BA"/>
    <w:rsid w:val="00F41576"/>
    <w:rsid w:val="00F41D1F"/>
    <w:rsid w:val="00F426B0"/>
    <w:rsid w:val="00F42910"/>
    <w:rsid w:val="00F42C2B"/>
    <w:rsid w:val="00F4481E"/>
    <w:rsid w:val="00F44833"/>
    <w:rsid w:val="00F45B82"/>
    <w:rsid w:val="00F464CD"/>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1D24"/>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4FB"/>
    <w:rsid w:val="00F65920"/>
    <w:rsid w:val="00F65961"/>
    <w:rsid w:val="00F65E8A"/>
    <w:rsid w:val="00F65E91"/>
    <w:rsid w:val="00F660B8"/>
    <w:rsid w:val="00F6617D"/>
    <w:rsid w:val="00F66709"/>
    <w:rsid w:val="00F669E3"/>
    <w:rsid w:val="00F66AF7"/>
    <w:rsid w:val="00F66CA9"/>
    <w:rsid w:val="00F672EB"/>
    <w:rsid w:val="00F6753C"/>
    <w:rsid w:val="00F67906"/>
    <w:rsid w:val="00F67A85"/>
    <w:rsid w:val="00F67D0D"/>
    <w:rsid w:val="00F70F41"/>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4A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317"/>
    <w:rsid w:val="00FA17D6"/>
    <w:rsid w:val="00FA1B1E"/>
    <w:rsid w:val="00FA1CBF"/>
    <w:rsid w:val="00FA1D8F"/>
    <w:rsid w:val="00FA1EB0"/>
    <w:rsid w:val="00FA2002"/>
    <w:rsid w:val="00FA2526"/>
    <w:rsid w:val="00FA2663"/>
    <w:rsid w:val="00FA281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9A"/>
    <w:rsid w:val="00FA65C9"/>
    <w:rsid w:val="00FA6686"/>
    <w:rsid w:val="00FA680F"/>
    <w:rsid w:val="00FA6A8C"/>
    <w:rsid w:val="00FA6E07"/>
    <w:rsid w:val="00FA7779"/>
    <w:rsid w:val="00FA7A20"/>
    <w:rsid w:val="00FA7AA6"/>
    <w:rsid w:val="00FA7C04"/>
    <w:rsid w:val="00FB0443"/>
    <w:rsid w:val="00FB0540"/>
    <w:rsid w:val="00FB08FB"/>
    <w:rsid w:val="00FB0BB0"/>
    <w:rsid w:val="00FB1309"/>
    <w:rsid w:val="00FB15D5"/>
    <w:rsid w:val="00FB18E8"/>
    <w:rsid w:val="00FB19D8"/>
    <w:rsid w:val="00FB22E5"/>
    <w:rsid w:val="00FB2864"/>
    <w:rsid w:val="00FB2F94"/>
    <w:rsid w:val="00FB30C0"/>
    <w:rsid w:val="00FB3CD6"/>
    <w:rsid w:val="00FB4065"/>
    <w:rsid w:val="00FB4760"/>
    <w:rsid w:val="00FB47B5"/>
    <w:rsid w:val="00FB4938"/>
    <w:rsid w:val="00FB4DBF"/>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035"/>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80D"/>
    <w:rsid w:val="00FD3905"/>
    <w:rsid w:val="00FD4CC0"/>
    <w:rsid w:val="00FD5999"/>
    <w:rsid w:val="00FD6318"/>
    <w:rsid w:val="00FD6A3D"/>
    <w:rsid w:val="00FD6D13"/>
    <w:rsid w:val="00FD6F9D"/>
    <w:rsid w:val="00FD702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010"/>
    <w:rsid w:val="00FE5172"/>
    <w:rsid w:val="00FE5236"/>
    <w:rsid w:val="00FE53DD"/>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634"/>
    <w:rsid w:val="00FF48E0"/>
    <w:rsid w:val="00FF5026"/>
    <w:rsid w:val="00FF5173"/>
    <w:rsid w:val="00FF51D0"/>
    <w:rsid w:val="00FF52CC"/>
    <w:rsid w:val="00FF52E3"/>
    <w:rsid w:val="00FF5D1A"/>
    <w:rsid w:val="00FF601A"/>
    <w:rsid w:val="00FF609A"/>
    <w:rsid w:val="00FF6CF6"/>
    <w:rsid w:val="00FF70CF"/>
    <w:rsid w:val="00FF72A3"/>
    <w:rsid w:val="00FF73A4"/>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fontstyle01">
    <w:name w:val="fontstyle01"/>
    <w:rsid w:val="0033483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HR33RHYHUWRF-4-15445</_dlc_DocId>
    <_dlc_DocIdUrl xmlns="c06861ca-3f08-4d07-bff7-bb15bac121f4">
      <Url>https://projects.qualcomm.com/sites/pentari/_layouts/15/DocIdRedir.aspx?ID=HR33RHYHUWRF-4-15445</Url>
      <Description>HR33RHYHUWRF-4-15445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9F3A24F1-5C4B-42E5-B2A9-9D02CE366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466</TotalTime>
  <Pages>11</Pages>
  <Words>4902</Words>
  <Characters>27185</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223</cp:revision>
  <cp:lastPrinted>2019-08-16T16:55:00Z</cp:lastPrinted>
  <dcterms:created xsi:type="dcterms:W3CDTF">2019-03-29T18:44:00Z</dcterms:created>
  <dcterms:modified xsi:type="dcterms:W3CDTF">2019-08-16T23:32:00Z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f45be276-d6fb-4b18-b49b-d77a2b3ff4f7</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